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10543E"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Thermal Management Investigation for High-Power AESA Radar Systems: CFD Analysis of R1234yf Cooling Loop Performance</w:t>
      </w:r>
    </w:p>
    <w:p w14:paraId="377C9E2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Kyeong Ahn Chung, Jun Manyool, Fazil Nalband</w:t>
      </w:r>
      <w:r w:rsidRPr="00E41D94">
        <w:rPr>
          <w:rFonts w:ascii="Times New Roman" w:hAnsi="Times New Roman" w:cs="Times New Roman"/>
          <w:sz w:val="18"/>
          <w:szCs w:val="18"/>
        </w:rPr>
        <w:t>*</w:t>
      </w:r>
    </w:p>
    <w:p w14:paraId="42CCDB0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i/>
          <w:iCs/>
          <w:sz w:val="18"/>
          <w:szCs w:val="18"/>
        </w:rPr>
        <w:t>Kipco Radar and Aerospace, Republic of Korea</w:t>
      </w:r>
      <w:r w:rsidRPr="00E41D94">
        <w:rPr>
          <w:rFonts w:ascii="Times New Roman" w:hAnsi="Times New Roman" w:cs="Times New Roman"/>
          <w:sz w:val="18"/>
          <w:szCs w:val="18"/>
        </w:rPr>
        <w:br/>
      </w:r>
      <w:r w:rsidRPr="00E41D94">
        <w:rPr>
          <w:rFonts w:ascii="Times New Roman" w:hAnsi="Times New Roman" w:cs="Times New Roman"/>
          <w:i/>
          <w:iCs/>
          <w:sz w:val="18"/>
          <w:szCs w:val="18"/>
        </w:rPr>
        <w:t>fazil@kipcokorea.com</w:t>
      </w:r>
    </w:p>
    <w:p w14:paraId="47FC25C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pict w14:anchorId="0857E18D">
          <v:rect id="_x0000_i1073" style="width:0;height:1.5pt" o:hralign="center" o:hrstd="t" o:hr="t" fillcolor="#a0a0a0" stroked="f"/>
        </w:pict>
      </w:r>
    </w:p>
    <w:p w14:paraId="2F4191D7"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Abstract</w:t>
      </w:r>
    </w:p>
    <w:p w14:paraId="0184C372"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Modern AESA radar systems utilizing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-based power amplifiers generate heat fluxes exceeding 200 W/cm², creating significant thermal management challenges for defense platforms. This study investigates a compact water-R1234yf heat exchanger designed for next-generation radar cooling applications where environmental refrigerants must operate within strict military specifications. We conducted SOLIDWORKS-based computational analysis examining three water coolant flow rates (0.1, 0.3, 0.5 kg/s) against a fixed refrigerant circuit operating at 0.5 kg/s and 10°C inlet conditions. The radar cooling loop delivers hot water at 80°C from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 modules requiring thermal stabilization. Our CFD results demonstrate that intermediate flow (0.3 kg/s) provides optimal thermal performance while maintaining acceptable pressure losses for military vehicle power budgets. Streamline analysis reveals enhanced turbulent mixing at higher flows, with thermal effectiveness reaching 0.77 at maximum water circulation. These findings support </w:t>
      </w:r>
      <w:proofErr w:type="spellStart"/>
      <w:r w:rsidRPr="00E41D94">
        <w:rPr>
          <w:rFonts w:ascii="Times New Roman" w:hAnsi="Times New Roman" w:cs="Times New Roman"/>
          <w:sz w:val="18"/>
          <w:szCs w:val="18"/>
        </w:rPr>
        <w:t>Kipco's</w:t>
      </w:r>
      <w:proofErr w:type="spellEnd"/>
      <w:r w:rsidRPr="00E41D94">
        <w:rPr>
          <w:rFonts w:ascii="Times New Roman" w:hAnsi="Times New Roman" w:cs="Times New Roman"/>
          <w:sz w:val="18"/>
          <w:szCs w:val="18"/>
        </w:rPr>
        <w:t xml:space="preserve"> development of environmentally-compliant thermal solutions for high-power defense electronics operating under MIL-STD-810H environmental extremes. The work addresses a critical technology gap in cooling systems for next-generation phased array radars, electronic warfare systems, and directed energy weapons.</w:t>
      </w:r>
    </w:p>
    <w:p w14:paraId="5D4A93D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Keywords:</w:t>
      </w:r>
      <w:r w:rsidRPr="00E41D94">
        <w:rPr>
          <w:rFonts w:ascii="Times New Roman" w:hAnsi="Times New Roman" w:cs="Times New Roman"/>
          <w:sz w:val="18"/>
          <w:szCs w:val="18"/>
        </w:rPr>
        <w:t xml:space="preserve"> AESA radar cooling,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 thermal management, R1234yf refrigerant, military heat exchangers, defense electronics thermal control</w:t>
      </w:r>
    </w:p>
    <w:p w14:paraId="1115F45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pict w14:anchorId="2E748BB5">
          <v:rect id="_x0000_i1074" style="width:0;height:1.5pt" o:hralign="center" o:hrstd="t" o:hr="t" fillcolor="#a0a0a0" stroked="f"/>
        </w:pict>
      </w:r>
    </w:p>
    <w:p w14:paraId="124ADDF6"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1. Introduction and Background</w:t>
      </w:r>
    </w:p>
    <w:p w14:paraId="5D31D69F"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1.1 Thermal Challenges in Modern Defense Electronics</w:t>
      </w:r>
    </w:p>
    <w:p w14:paraId="5C036AB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Active Electronically Scanned Array (AESA) radar systems represent the backbone of modern air defense, fire control, and surveillance capabilities. Recent advances in Gallium Nitride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 transistor technology have enabled dramatic improvements in radar performance—increased range, higher resolution, and multi-function operation. However, these performance gains come with a steep thermal price. A typical X-band AESA radar module now dissipates 150-250 watts per transmit/receive element, </w:t>
      </w:r>
      <w:r w:rsidRPr="00E41D94">
        <w:rPr>
          <w:rFonts w:ascii="Times New Roman" w:hAnsi="Times New Roman" w:cs="Times New Roman"/>
          <w:sz w:val="18"/>
          <w:szCs w:val="18"/>
        </w:rPr>
        <w:t>with arrays containing hundreds or thousands of such elements.</w:t>
      </w:r>
    </w:p>
    <w:p w14:paraId="0A21462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At Kipco Radar and Aerospace, we're developing next-generation radar systems for land-based air defense and naval applications. Our current AESA design incorporates 1,024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-based transmit/receive modules operating at 400W peak power per module. During full-power operation, the array face generates approximately 180 kW of waste heat that must be removed continuously to prevent performance degradation or catastrophic failure. Junction temperatures must stay below 150°C for reliability, which becomes extremely difficult when ambient temperatures can reach 55°C in desert deployments.</w:t>
      </w:r>
    </w:p>
    <w:p w14:paraId="398DC41A"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Traditional air cooling cannot handle these thermal densities. We initially attempted forced-air solutions, but the required airflow rates created unacceptable acoustic signatures—a serious problem for mobile radar systems trying to minimize detection. Liquid cooling became necessary, but here we encountered a different challenge: environmental regulations.</w:t>
      </w:r>
    </w:p>
    <w:p w14:paraId="0EA8E32E"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1.2 Regulatory Drivers and R1234yf Selection</w:t>
      </w:r>
    </w:p>
    <w:p w14:paraId="00200500" w14:textId="520CE12B"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Military procurement specifications increasingly mandate environmental compliance. The Montreal Protocol's Kigali Amendment affects defense contractors, requiring transition away from high global warming potential (GWP) refrigerants. R134a</w:t>
      </w:r>
      <w:r>
        <w:rPr>
          <w:rFonts w:ascii="Times New Roman" w:hAnsi="Times New Roman" w:cs="Times New Roman"/>
          <w:sz w:val="18"/>
          <w:szCs w:val="18"/>
        </w:rPr>
        <w:t xml:space="preserve"> </w:t>
      </w:r>
      <w:r w:rsidRPr="00E41D94">
        <w:rPr>
          <w:rFonts w:ascii="Times New Roman" w:hAnsi="Times New Roman" w:cs="Times New Roman"/>
          <w:sz w:val="18"/>
          <w:szCs w:val="18"/>
        </w:rPr>
        <w:t>has GWP of 1,430—unacceptable under emerging regulations.</w:t>
      </w:r>
    </w:p>
    <w:p w14:paraId="676C87B2" w14:textId="22BB67C1"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R1234yf offers GWP of just 4 while maintaining thermophysical properties reasonably close to R134a. However, "reasonably close" isn't good enough for </w:t>
      </w:r>
      <w:proofErr w:type="gramStart"/>
      <w:r w:rsidRPr="00E41D94">
        <w:rPr>
          <w:rFonts w:ascii="Times New Roman" w:hAnsi="Times New Roman" w:cs="Times New Roman"/>
          <w:sz w:val="18"/>
          <w:szCs w:val="18"/>
        </w:rPr>
        <w:t>a  radar</w:t>
      </w:r>
      <w:proofErr w:type="gramEnd"/>
      <w:r w:rsidRPr="00E41D94">
        <w:rPr>
          <w:rFonts w:ascii="Times New Roman" w:hAnsi="Times New Roman" w:cs="Times New Roman"/>
          <w:sz w:val="18"/>
          <w:szCs w:val="18"/>
        </w:rPr>
        <w:t xml:space="preserve"> system where thermal failure could compromise national defense capabilities. We needed detailed performance data specific to our operating conditions before committing this refrigerant to production hardware.</w:t>
      </w:r>
    </w:p>
    <w:p w14:paraId="499EA86F"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 challenge intensified due to military environmental requirements. MIL-STD-810H specifies operation from -40°C to +63°C ambient, with thermal shock testing, vibration, and altitude variations. Commercial automotive R1234yf data doesn't cover these conditions. Most published research focuses on passenger vehicle air conditioning—very different from our application where failure isn't an option.</w:t>
      </w:r>
    </w:p>
    <w:p w14:paraId="66B07A58"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1.3 Research Objectives and Approach</w:t>
      </w:r>
    </w:p>
    <w:p w14:paraId="1B5281E0" w14:textId="29EB83FF"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This study originated from a specific design problem in our current radar development </w:t>
      </w:r>
      <w:r w:rsidRPr="00E41D94">
        <w:rPr>
          <w:rFonts w:ascii="Times New Roman" w:hAnsi="Times New Roman" w:cs="Times New Roman"/>
          <w:sz w:val="18"/>
          <w:szCs w:val="18"/>
        </w:rPr>
        <w:t>program. Military</w:t>
      </w:r>
      <w:r w:rsidRPr="00E41D94">
        <w:rPr>
          <w:rFonts w:ascii="Times New Roman" w:hAnsi="Times New Roman" w:cs="Times New Roman"/>
          <w:sz w:val="18"/>
          <w:szCs w:val="18"/>
        </w:rPr>
        <w:t xml:space="preserve"> platforms have strict power budgets; every watt consumed by auxiliary systems reduces capability elsewhere.</w:t>
      </w:r>
    </w:p>
    <w:p w14:paraId="474D242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Three flow rates emerged as candidates from our preliminary calculations:</w:t>
      </w:r>
    </w:p>
    <w:p w14:paraId="757195DB" w14:textId="77777777" w:rsidR="00E41D94" w:rsidRPr="00E41D94" w:rsidRDefault="00E41D94" w:rsidP="00E41D94">
      <w:pPr>
        <w:numPr>
          <w:ilvl w:val="0"/>
          <w:numId w:val="1"/>
        </w:numPr>
        <w:jc w:val="both"/>
        <w:rPr>
          <w:rFonts w:ascii="Times New Roman" w:hAnsi="Times New Roman" w:cs="Times New Roman"/>
          <w:sz w:val="18"/>
          <w:szCs w:val="18"/>
        </w:rPr>
      </w:pPr>
      <w:r w:rsidRPr="00E41D94">
        <w:rPr>
          <w:rFonts w:ascii="Times New Roman" w:hAnsi="Times New Roman" w:cs="Times New Roman"/>
          <w:b/>
          <w:bCs/>
          <w:sz w:val="18"/>
          <w:szCs w:val="18"/>
        </w:rPr>
        <w:lastRenderedPageBreak/>
        <w:t>0.1 kg/s</w:t>
      </w:r>
      <w:r w:rsidRPr="00E41D94">
        <w:rPr>
          <w:rFonts w:ascii="Times New Roman" w:hAnsi="Times New Roman" w:cs="Times New Roman"/>
          <w:sz w:val="18"/>
          <w:szCs w:val="18"/>
        </w:rPr>
        <w:t>: Minimum flow maintaining turbulent conditions</w:t>
      </w:r>
    </w:p>
    <w:p w14:paraId="218EE5A7" w14:textId="77777777" w:rsidR="00E41D94" w:rsidRPr="00E41D94" w:rsidRDefault="00E41D94" w:rsidP="00E41D94">
      <w:pPr>
        <w:numPr>
          <w:ilvl w:val="0"/>
          <w:numId w:val="1"/>
        </w:numPr>
        <w:jc w:val="both"/>
        <w:rPr>
          <w:rFonts w:ascii="Times New Roman" w:hAnsi="Times New Roman" w:cs="Times New Roman"/>
          <w:sz w:val="18"/>
          <w:szCs w:val="18"/>
        </w:rPr>
      </w:pPr>
      <w:r w:rsidRPr="00E41D94">
        <w:rPr>
          <w:rFonts w:ascii="Times New Roman" w:hAnsi="Times New Roman" w:cs="Times New Roman"/>
          <w:b/>
          <w:bCs/>
          <w:sz w:val="18"/>
          <w:szCs w:val="18"/>
        </w:rPr>
        <w:t>0.3 kg/s</w:t>
      </w:r>
      <w:r w:rsidRPr="00E41D94">
        <w:rPr>
          <w:rFonts w:ascii="Times New Roman" w:hAnsi="Times New Roman" w:cs="Times New Roman"/>
          <w:sz w:val="18"/>
          <w:szCs w:val="18"/>
        </w:rPr>
        <w:t>: Our initial baseline from legacy designs</w:t>
      </w:r>
    </w:p>
    <w:p w14:paraId="020CEB26" w14:textId="77777777" w:rsidR="00E41D94" w:rsidRPr="00E41D94" w:rsidRDefault="00E41D94" w:rsidP="00E41D94">
      <w:pPr>
        <w:numPr>
          <w:ilvl w:val="0"/>
          <w:numId w:val="1"/>
        </w:numPr>
        <w:jc w:val="both"/>
        <w:rPr>
          <w:rFonts w:ascii="Times New Roman" w:hAnsi="Times New Roman" w:cs="Times New Roman"/>
          <w:sz w:val="18"/>
          <w:szCs w:val="18"/>
        </w:rPr>
      </w:pPr>
      <w:r w:rsidRPr="00E41D94">
        <w:rPr>
          <w:rFonts w:ascii="Times New Roman" w:hAnsi="Times New Roman" w:cs="Times New Roman"/>
          <w:b/>
          <w:bCs/>
          <w:sz w:val="18"/>
          <w:szCs w:val="18"/>
        </w:rPr>
        <w:t>0.5 kg/s</w:t>
      </w:r>
      <w:r w:rsidRPr="00E41D94">
        <w:rPr>
          <w:rFonts w:ascii="Times New Roman" w:hAnsi="Times New Roman" w:cs="Times New Roman"/>
          <w:sz w:val="18"/>
          <w:szCs w:val="18"/>
        </w:rPr>
        <w:t>: Maximum capacity from available military-qualified pumps</w:t>
      </w:r>
    </w:p>
    <w:p w14:paraId="44A5BC1D"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Rather than build and test three prototype systems—expensive and time-consuming—we decided computational analysis could provide early guidance. The specific questions we wanted answered:</w:t>
      </w:r>
    </w:p>
    <w:p w14:paraId="252E7DEE" w14:textId="77777777" w:rsidR="00E41D94" w:rsidRPr="00E41D94" w:rsidRDefault="00E41D94" w:rsidP="00E41D94">
      <w:pPr>
        <w:numPr>
          <w:ilvl w:val="0"/>
          <w:numId w:val="2"/>
        </w:numPr>
        <w:jc w:val="both"/>
        <w:rPr>
          <w:rFonts w:ascii="Times New Roman" w:hAnsi="Times New Roman" w:cs="Times New Roman"/>
          <w:sz w:val="18"/>
          <w:szCs w:val="18"/>
        </w:rPr>
      </w:pPr>
      <w:r w:rsidRPr="00E41D94">
        <w:rPr>
          <w:rFonts w:ascii="Times New Roman" w:hAnsi="Times New Roman" w:cs="Times New Roman"/>
          <w:sz w:val="18"/>
          <w:szCs w:val="18"/>
        </w:rPr>
        <w:t>How does water flow rate affect heat removal capacity?</w:t>
      </w:r>
    </w:p>
    <w:p w14:paraId="03A1D254" w14:textId="77777777" w:rsidR="00E41D94" w:rsidRPr="00E41D94" w:rsidRDefault="00E41D94" w:rsidP="00E41D94">
      <w:pPr>
        <w:numPr>
          <w:ilvl w:val="0"/>
          <w:numId w:val="2"/>
        </w:numPr>
        <w:jc w:val="both"/>
        <w:rPr>
          <w:rFonts w:ascii="Times New Roman" w:hAnsi="Times New Roman" w:cs="Times New Roman"/>
          <w:sz w:val="18"/>
          <w:szCs w:val="18"/>
        </w:rPr>
      </w:pPr>
      <w:r w:rsidRPr="00E41D94">
        <w:rPr>
          <w:rFonts w:ascii="Times New Roman" w:hAnsi="Times New Roman" w:cs="Times New Roman"/>
          <w:sz w:val="18"/>
          <w:szCs w:val="18"/>
        </w:rPr>
        <w:t>What's the pressure drop penalty at each flow rate?</w:t>
      </w:r>
    </w:p>
    <w:p w14:paraId="720EA333" w14:textId="77777777" w:rsidR="00E41D94" w:rsidRPr="00E41D94" w:rsidRDefault="00E41D94" w:rsidP="00E41D94">
      <w:pPr>
        <w:numPr>
          <w:ilvl w:val="0"/>
          <w:numId w:val="2"/>
        </w:numPr>
        <w:jc w:val="both"/>
        <w:rPr>
          <w:rFonts w:ascii="Times New Roman" w:hAnsi="Times New Roman" w:cs="Times New Roman"/>
          <w:sz w:val="18"/>
          <w:szCs w:val="18"/>
        </w:rPr>
      </w:pPr>
      <w:r w:rsidRPr="00E41D94">
        <w:rPr>
          <w:rFonts w:ascii="Times New Roman" w:hAnsi="Times New Roman" w:cs="Times New Roman"/>
          <w:sz w:val="18"/>
          <w:szCs w:val="18"/>
        </w:rPr>
        <w:t>Can we identify an optimal operating point?</w:t>
      </w:r>
    </w:p>
    <w:p w14:paraId="3697CEB1" w14:textId="1B3FC9E9" w:rsidR="00E41D94" w:rsidRPr="00E41D94" w:rsidRDefault="00E41D94" w:rsidP="00E41D94">
      <w:pPr>
        <w:numPr>
          <w:ilvl w:val="0"/>
          <w:numId w:val="2"/>
        </w:numPr>
        <w:jc w:val="both"/>
        <w:rPr>
          <w:rFonts w:ascii="Times New Roman" w:hAnsi="Times New Roman" w:cs="Times New Roman"/>
          <w:sz w:val="18"/>
          <w:szCs w:val="18"/>
        </w:rPr>
      </w:pPr>
      <w:r w:rsidRPr="00E41D94">
        <w:rPr>
          <w:rFonts w:ascii="Times New Roman" w:hAnsi="Times New Roman" w:cs="Times New Roman"/>
          <w:sz w:val="18"/>
          <w:szCs w:val="18"/>
        </w:rPr>
        <w:t xml:space="preserve">Do flow patterns reveal any unexpected thermal </w:t>
      </w:r>
      <w:r w:rsidRPr="00E41D94">
        <w:rPr>
          <w:rFonts w:ascii="Times New Roman" w:hAnsi="Times New Roman" w:cs="Times New Roman"/>
          <w:sz w:val="18"/>
          <w:szCs w:val="18"/>
        </w:rPr>
        <w:t>behaviour</w:t>
      </w:r>
      <w:r w:rsidRPr="00E41D94">
        <w:rPr>
          <w:rFonts w:ascii="Times New Roman" w:hAnsi="Times New Roman" w:cs="Times New Roman"/>
          <w:sz w:val="18"/>
          <w:szCs w:val="18"/>
        </w:rPr>
        <w:t>?</w:t>
      </w:r>
    </w:p>
    <w:p w14:paraId="78E13D2E" w14:textId="77777777" w:rsidR="00E41D94" w:rsidRPr="00E41D94" w:rsidRDefault="00E41D94" w:rsidP="00E41D94">
      <w:pPr>
        <w:numPr>
          <w:ilvl w:val="0"/>
          <w:numId w:val="2"/>
        </w:numPr>
        <w:jc w:val="both"/>
        <w:rPr>
          <w:rFonts w:ascii="Times New Roman" w:hAnsi="Times New Roman" w:cs="Times New Roman"/>
          <w:sz w:val="18"/>
          <w:szCs w:val="18"/>
        </w:rPr>
      </w:pPr>
      <w:r w:rsidRPr="00E41D94">
        <w:rPr>
          <w:rFonts w:ascii="Times New Roman" w:hAnsi="Times New Roman" w:cs="Times New Roman"/>
          <w:sz w:val="18"/>
          <w:szCs w:val="18"/>
        </w:rPr>
        <w:t>Will the heat exchanger meet MIL-STD thermal performance requirements?</w:t>
      </w:r>
    </w:p>
    <w:p w14:paraId="1A5784DD" w14:textId="61E1A29A"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We chose SOLIDWORKS</w:t>
      </w:r>
      <w:r>
        <w:rPr>
          <w:rFonts w:ascii="Times New Roman" w:hAnsi="Times New Roman" w:cs="Times New Roman"/>
          <w:sz w:val="18"/>
          <w:szCs w:val="18"/>
        </w:rPr>
        <w:t xml:space="preserve"> 2025</w:t>
      </w:r>
      <w:r w:rsidRPr="00E41D94">
        <w:rPr>
          <w:rFonts w:ascii="Times New Roman" w:hAnsi="Times New Roman" w:cs="Times New Roman"/>
          <w:sz w:val="18"/>
          <w:szCs w:val="18"/>
        </w:rPr>
        <w:t xml:space="preserve"> Flow Simulation</w:t>
      </w:r>
      <w:r>
        <w:rPr>
          <w:rFonts w:ascii="Times New Roman" w:hAnsi="Times New Roman" w:cs="Times New Roman"/>
          <w:sz w:val="18"/>
          <w:szCs w:val="18"/>
        </w:rPr>
        <w:t>.</w:t>
      </w:r>
      <w:r w:rsidRPr="00E41D94">
        <w:rPr>
          <w:rFonts w:ascii="Times New Roman" w:hAnsi="Times New Roman" w:cs="Times New Roman"/>
          <w:sz w:val="18"/>
          <w:szCs w:val="18"/>
        </w:rPr>
        <w:t xml:space="preserve"> This paper documents our computational investigation. While we focused on a specific heat exchanger geometry driven by manufacturing constraints, the methodology and findings have broader applicability to thermal management of high-power military electronics.</w:t>
      </w:r>
    </w:p>
    <w:p w14:paraId="2A90DD7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pict w14:anchorId="48205C0C">
          <v:rect id="_x0000_i1075" style="width:0;height:1.5pt" o:hralign="center" o:hrstd="t" o:hr="t" fillcolor="#a0a0a0" stroked="f"/>
        </w:pict>
      </w:r>
    </w:p>
    <w:p w14:paraId="128BF2A6"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2. Computational Methodology</w:t>
      </w:r>
    </w:p>
    <w:p w14:paraId="1DE87F6E"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2.1 Heat Exchanger Design for Radar Applications</w:t>
      </w:r>
    </w:p>
    <w:p w14:paraId="7B6D707B" w14:textId="2827DEA4"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Space constraints in radar enclosures favor compact geometries. Reliability requirements mandate simple, robust designs without small channels prone to fouling. Maintainability drives us toward standard tube fittings compatible with military logistics. These factors led to a concentric tube arrangement.</w:t>
      </w:r>
    </w:p>
    <w:p w14:paraId="30811080" w14:textId="6B322234"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The inner tube carries R1234yf refrigerant. Copper construction provides corrosion resistance and thermal conductivity, though we'll likely switch to </w:t>
      </w:r>
      <w:r w:rsidRPr="00E41D94">
        <w:rPr>
          <w:rFonts w:ascii="Times New Roman" w:hAnsi="Times New Roman" w:cs="Times New Roman"/>
          <w:sz w:val="18"/>
          <w:szCs w:val="18"/>
        </w:rPr>
        <w:t>aluminium</w:t>
      </w:r>
      <w:r w:rsidRPr="00E41D94">
        <w:rPr>
          <w:rFonts w:ascii="Times New Roman" w:hAnsi="Times New Roman" w:cs="Times New Roman"/>
          <w:sz w:val="18"/>
          <w:szCs w:val="18"/>
        </w:rPr>
        <w:t xml:space="preserve"> for production units to save weight. Wall thickness meets pressure vessel requirements with safety margin. The outer tube creates an annular channel for water flow from the radar modules. Counter-flow configuration was selected after thermodynamic analysis showed 15-18% better effectiveness than parallel flow—directly translating to smaller, lighter heat exchangers.</w:t>
      </w:r>
    </w:p>
    <w:p w14:paraId="6262D50A" w14:textId="7D571296"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Longer would be thermodynamically better but doesn't fit the available space. We designed mounting brackets to handle vibration loads per MIL-STD-167 (mechanical </w:t>
      </w:r>
      <w:r w:rsidRPr="00E41D94">
        <w:rPr>
          <w:rFonts w:ascii="Times New Roman" w:hAnsi="Times New Roman" w:cs="Times New Roman"/>
          <w:sz w:val="18"/>
          <w:szCs w:val="18"/>
        </w:rPr>
        <w:t>vibration of shipboard equipment), though that analysis isn't discussed here.</w:t>
      </w:r>
    </w:p>
    <w:p w14:paraId="0493D8F9"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2.2 CFD Model Development</w:t>
      </w:r>
    </w:p>
    <w:p w14:paraId="36F770FE"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We built the geometry directly in SolidWorks, which eliminated file translation errors we'd experienced with other CFD tools. The model includes both fluid domains and solid copper walls for conjugate heat transfer simulation—important because wall thermal resistance affects overall performance.</w:t>
      </w:r>
    </w:p>
    <w:p w14:paraId="4DB6A46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Flow Simulation's automatic meshing created the initial grid. We then manually refined the mesh near walls where thermal boundary layers develop. After several iterations, we settled on approximately 520,000 cells. A finer mesh with 890,000 cells changed predicted Nusselt numbers by only 2.7%, confirming our mesh adequately resolved the physics. Near-wall cell sizing maintained y+ values below 5 for accurate heat transfer prediction.</w:t>
      </w:r>
    </w:p>
    <w:p w14:paraId="72CCEA7D" w14:textId="0EBC992F"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Turbulence </w:t>
      </w:r>
      <w:r w:rsidRPr="00E41D94">
        <w:rPr>
          <w:rFonts w:ascii="Times New Roman" w:hAnsi="Times New Roman" w:cs="Times New Roman"/>
          <w:sz w:val="18"/>
          <w:szCs w:val="18"/>
        </w:rPr>
        <w:t>modelling</w:t>
      </w:r>
      <w:r w:rsidRPr="00E41D94">
        <w:rPr>
          <w:rFonts w:ascii="Times New Roman" w:hAnsi="Times New Roman" w:cs="Times New Roman"/>
          <w:sz w:val="18"/>
          <w:szCs w:val="18"/>
        </w:rPr>
        <w:t xml:space="preserve"> used the k-ε approach with enhanced wall treatment. We briefly tested the k-ω SST model but found less than 4% difference in results for our fully turbulent flows, so we stayed with k-ε for computational efficiency.</w:t>
      </w:r>
    </w:p>
    <w:p w14:paraId="3A4CA1AA" w14:textId="7D9517FD"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One </w:t>
      </w:r>
      <w:r w:rsidRPr="00E41D94">
        <w:rPr>
          <w:rFonts w:ascii="Times New Roman" w:hAnsi="Times New Roman" w:cs="Times New Roman"/>
          <w:sz w:val="18"/>
          <w:szCs w:val="18"/>
        </w:rPr>
        <w:t>modelling</w:t>
      </w:r>
      <w:r w:rsidRPr="00E41D94">
        <w:rPr>
          <w:rFonts w:ascii="Times New Roman" w:hAnsi="Times New Roman" w:cs="Times New Roman"/>
          <w:sz w:val="18"/>
          <w:szCs w:val="18"/>
        </w:rPr>
        <w:t xml:space="preserve"> decision deserves mention. We assumed steady-state conditions even though actual radar operation involves transient power variations. This simplification seems reasonable for initial design—transient thermal response will be validated during hardware testing. For now, we wanted to understand steady-state thermal performance.</w:t>
      </w:r>
    </w:p>
    <w:p w14:paraId="28E2D219"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2.3 Operating Conditions and Test Cases</w:t>
      </w:r>
    </w:p>
    <w:p w14:paraId="20A2CCAB"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Three simulations were performed with identical conditions except water flow rate:</w:t>
      </w:r>
    </w:p>
    <w:p w14:paraId="20928FD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Case A: Low Flow (0.1 kg/s water)</w:t>
      </w:r>
    </w:p>
    <w:p w14:paraId="31A41AA5" w14:textId="15099839" w:rsidR="00E41D94" w:rsidRPr="00E41D94" w:rsidRDefault="00E41D94" w:rsidP="00E41D94">
      <w:pPr>
        <w:numPr>
          <w:ilvl w:val="0"/>
          <w:numId w:val="3"/>
        </w:numPr>
        <w:jc w:val="both"/>
        <w:rPr>
          <w:rFonts w:ascii="Times New Roman" w:hAnsi="Times New Roman" w:cs="Times New Roman"/>
          <w:sz w:val="18"/>
          <w:szCs w:val="18"/>
        </w:rPr>
      </w:pPr>
      <w:r w:rsidRPr="00E41D94">
        <w:rPr>
          <w:rFonts w:ascii="Times New Roman" w:hAnsi="Times New Roman" w:cs="Times New Roman"/>
          <w:sz w:val="18"/>
          <w:szCs w:val="18"/>
        </w:rPr>
        <w:t xml:space="preserve">Minimum </w:t>
      </w:r>
    </w:p>
    <w:p w14:paraId="7F9EFDFC" w14:textId="77777777" w:rsidR="00E41D94" w:rsidRPr="00E41D94" w:rsidRDefault="00E41D94" w:rsidP="00E41D94">
      <w:pPr>
        <w:numPr>
          <w:ilvl w:val="0"/>
          <w:numId w:val="3"/>
        </w:numPr>
        <w:jc w:val="both"/>
        <w:rPr>
          <w:rFonts w:ascii="Times New Roman" w:hAnsi="Times New Roman" w:cs="Times New Roman"/>
          <w:sz w:val="18"/>
          <w:szCs w:val="18"/>
        </w:rPr>
      </w:pPr>
      <w:r w:rsidRPr="00E41D94">
        <w:rPr>
          <w:rFonts w:ascii="Times New Roman" w:hAnsi="Times New Roman" w:cs="Times New Roman"/>
          <w:sz w:val="18"/>
          <w:szCs w:val="18"/>
        </w:rPr>
        <w:t>Reynolds number ~5,600 (turbulent)</w:t>
      </w:r>
    </w:p>
    <w:p w14:paraId="5C91BA6D"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Case B: Baseline (0.3 kg/s water)</w:t>
      </w:r>
    </w:p>
    <w:p w14:paraId="5DA9C329" w14:textId="77777777" w:rsidR="00E41D94" w:rsidRPr="00E41D94" w:rsidRDefault="00E41D94" w:rsidP="00E41D94">
      <w:pPr>
        <w:numPr>
          <w:ilvl w:val="0"/>
          <w:numId w:val="4"/>
        </w:numPr>
        <w:jc w:val="both"/>
        <w:rPr>
          <w:rFonts w:ascii="Times New Roman" w:hAnsi="Times New Roman" w:cs="Times New Roman"/>
          <w:sz w:val="18"/>
          <w:szCs w:val="18"/>
        </w:rPr>
      </w:pPr>
      <w:r w:rsidRPr="00E41D94">
        <w:rPr>
          <w:rFonts w:ascii="Times New Roman" w:hAnsi="Times New Roman" w:cs="Times New Roman"/>
          <w:sz w:val="18"/>
          <w:szCs w:val="18"/>
        </w:rPr>
        <w:t>Initial design point from preliminary calculations</w:t>
      </w:r>
    </w:p>
    <w:p w14:paraId="54B0D462" w14:textId="77777777" w:rsidR="00E41D94" w:rsidRPr="00E41D94" w:rsidRDefault="00E41D94" w:rsidP="00E41D94">
      <w:pPr>
        <w:numPr>
          <w:ilvl w:val="0"/>
          <w:numId w:val="4"/>
        </w:numPr>
        <w:jc w:val="both"/>
        <w:rPr>
          <w:rFonts w:ascii="Times New Roman" w:hAnsi="Times New Roman" w:cs="Times New Roman"/>
          <w:sz w:val="18"/>
          <w:szCs w:val="18"/>
        </w:rPr>
      </w:pPr>
      <w:r w:rsidRPr="00E41D94">
        <w:rPr>
          <w:rFonts w:ascii="Times New Roman" w:hAnsi="Times New Roman" w:cs="Times New Roman"/>
          <w:sz w:val="18"/>
          <w:szCs w:val="18"/>
        </w:rPr>
        <w:t>Reynolds number ~16,800 (fully turbulent)</w:t>
      </w:r>
    </w:p>
    <w:p w14:paraId="1ED0A14D" w14:textId="77777777" w:rsidR="00E41D94" w:rsidRPr="00E41D94" w:rsidRDefault="00E41D94" w:rsidP="00E41D94">
      <w:pPr>
        <w:numPr>
          <w:ilvl w:val="0"/>
          <w:numId w:val="4"/>
        </w:numPr>
        <w:jc w:val="both"/>
        <w:rPr>
          <w:rFonts w:ascii="Times New Roman" w:hAnsi="Times New Roman" w:cs="Times New Roman"/>
          <w:sz w:val="18"/>
          <w:szCs w:val="18"/>
        </w:rPr>
      </w:pPr>
      <w:r w:rsidRPr="00E41D94">
        <w:rPr>
          <w:rFonts w:ascii="Times New Roman" w:hAnsi="Times New Roman" w:cs="Times New Roman"/>
          <w:sz w:val="18"/>
          <w:szCs w:val="18"/>
        </w:rPr>
        <w:t>Target for normal radar operation</w:t>
      </w:r>
    </w:p>
    <w:p w14:paraId="44C8B774"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Case C: High Flow (0.5 kg/s water)</w:t>
      </w:r>
    </w:p>
    <w:p w14:paraId="6332A49F" w14:textId="6BF26F42" w:rsidR="00E41D94" w:rsidRPr="00E41D94" w:rsidRDefault="00E41D94" w:rsidP="00E41D94">
      <w:pPr>
        <w:numPr>
          <w:ilvl w:val="0"/>
          <w:numId w:val="5"/>
        </w:numPr>
        <w:jc w:val="both"/>
        <w:rPr>
          <w:rFonts w:ascii="Times New Roman" w:hAnsi="Times New Roman" w:cs="Times New Roman"/>
          <w:sz w:val="18"/>
          <w:szCs w:val="18"/>
        </w:rPr>
      </w:pPr>
      <w:r w:rsidRPr="00E41D94">
        <w:rPr>
          <w:rFonts w:ascii="Times New Roman" w:hAnsi="Times New Roman" w:cs="Times New Roman"/>
          <w:sz w:val="18"/>
          <w:szCs w:val="18"/>
        </w:rPr>
        <w:t xml:space="preserve">Maximum </w:t>
      </w:r>
    </w:p>
    <w:p w14:paraId="28E24C8B" w14:textId="77777777" w:rsidR="00E41D94" w:rsidRPr="00E41D94" w:rsidRDefault="00E41D94" w:rsidP="00E41D94">
      <w:pPr>
        <w:numPr>
          <w:ilvl w:val="0"/>
          <w:numId w:val="5"/>
        </w:numPr>
        <w:jc w:val="both"/>
        <w:rPr>
          <w:rFonts w:ascii="Times New Roman" w:hAnsi="Times New Roman" w:cs="Times New Roman"/>
          <w:sz w:val="18"/>
          <w:szCs w:val="18"/>
        </w:rPr>
      </w:pPr>
      <w:r w:rsidRPr="00E41D94">
        <w:rPr>
          <w:rFonts w:ascii="Times New Roman" w:hAnsi="Times New Roman" w:cs="Times New Roman"/>
          <w:sz w:val="18"/>
          <w:szCs w:val="18"/>
        </w:rPr>
        <w:t>Reynolds number ~28,000 (highly turbulent)</w:t>
      </w:r>
    </w:p>
    <w:p w14:paraId="0C9F2FBD" w14:textId="77777777" w:rsidR="00E41D94" w:rsidRPr="00E41D94" w:rsidRDefault="00E41D94" w:rsidP="00E41D94">
      <w:pPr>
        <w:numPr>
          <w:ilvl w:val="0"/>
          <w:numId w:val="5"/>
        </w:numPr>
        <w:jc w:val="both"/>
        <w:rPr>
          <w:rFonts w:ascii="Times New Roman" w:hAnsi="Times New Roman" w:cs="Times New Roman"/>
          <w:sz w:val="18"/>
          <w:szCs w:val="18"/>
        </w:rPr>
      </w:pPr>
      <w:r w:rsidRPr="00E41D94">
        <w:rPr>
          <w:rFonts w:ascii="Times New Roman" w:hAnsi="Times New Roman" w:cs="Times New Roman"/>
          <w:sz w:val="18"/>
          <w:szCs w:val="18"/>
        </w:rPr>
        <w:t>Represents maximum cooling capability</w:t>
      </w:r>
    </w:p>
    <w:p w14:paraId="51F724D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lastRenderedPageBreak/>
        <w:t>All cases maintained:</w:t>
      </w:r>
    </w:p>
    <w:p w14:paraId="114C9137" w14:textId="77777777" w:rsidR="00E41D94" w:rsidRPr="00E41D94" w:rsidRDefault="00E41D94" w:rsidP="00E41D94">
      <w:pPr>
        <w:numPr>
          <w:ilvl w:val="0"/>
          <w:numId w:val="6"/>
        </w:numPr>
        <w:jc w:val="both"/>
        <w:rPr>
          <w:rFonts w:ascii="Times New Roman" w:hAnsi="Times New Roman" w:cs="Times New Roman"/>
          <w:sz w:val="18"/>
          <w:szCs w:val="18"/>
        </w:rPr>
      </w:pPr>
      <w:r w:rsidRPr="00E41D94">
        <w:rPr>
          <w:rFonts w:ascii="Times New Roman" w:hAnsi="Times New Roman" w:cs="Times New Roman"/>
          <w:sz w:val="18"/>
          <w:szCs w:val="18"/>
        </w:rPr>
        <w:t xml:space="preserve">Water inlet: 80°C (maximum expected from </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 modules)</w:t>
      </w:r>
    </w:p>
    <w:p w14:paraId="416BA74C" w14:textId="77777777" w:rsidR="00E41D94" w:rsidRPr="00E41D94" w:rsidRDefault="00E41D94" w:rsidP="00E41D94">
      <w:pPr>
        <w:numPr>
          <w:ilvl w:val="0"/>
          <w:numId w:val="6"/>
        </w:numPr>
        <w:jc w:val="both"/>
        <w:rPr>
          <w:rFonts w:ascii="Times New Roman" w:hAnsi="Times New Roman" w:cs="Times New Roman"/>
          <w:sz w:val="18"/>
          <w:szCs w:val="18"/>
        </w:rPr>
      </w:pPr>
      <w:r w:rsidRPr="00E41D94">
        <w:rPr>
          <w:rFonts w:ascii="Times New Roman" w:hAnsi="Times New Roman" w:cs="Times New Roman"/>
          <w:sz w:val="18"/>
          <w:szCs w:val="18"/>
        </w:rPr>
        <w:t>R1234yf inlet: 10°C (chiller setpoint)</w:t>
      </w:r>
    </w:p>
    <w:p w14:paraId="59FDF0EA" w14:textId="77777777" w:rsidR="00E41D94" w:rsidRPr="00E41D94" w:rsidRDefault="00E41D94" w:rsidP="00E41D94">
      <w:pPr>
        <w:numPr>
          <w:ilvl w:val="0"/>
          <w:numId w:val="6"/>
        </w:numPr>
        <w:jc w:val="both"/>
        <w:rPr>
          <w:rFonts w:ascii="Times New Roman" w:hAnsi="Times New Roman" w:cs="Times New Roman"/>
          <w:sz w:val="18"/>
          <w:szCs w:val="18"/>
        </w:rPr>
      </w:pPr>
      <w:r w:rsidRPr="00E41D94">
        <w:rPr>
          <w:rFonts w:ascii="Times New Roman" w:hAnsi="Times New Roman" w:cs="Times New Roman"/>
          <w:sz w:val="18"/>
          <w:szCs w:val="18"/>
        </w:rPr>
        <w:t>R1234yf flow: 0.5 kg/s (refrigerant circuit design point)</w:t>
      </w:r>
    </w:p>
    <w:p w14:paraId="7E1026D5" w14:textId="77777777" w:rsidR="00E41D94" w:rsidRPr="00E41D94" w:rsidRDefault="00E41D94" w:rsidP="00E41D94">
      <w:pPr>
        <w:numPr>
          <w:ilvl w:val="0"/>
          <w:numId w:val="6"/>
        </w:numPr>
        <w:jc w:val="both"/>
        <w:rPr>
          <w:rFonts w:ascii="Times New Roman" w:hAnsi="Times New Roman" w:cs="Times New Roman"/>
          <w:sz w:val="18"/>
          <w:szCs w:val="18"/>
        </w:rPr>
      </w:pPr>
      <w:r w:rsidRPr="00E41D94">
        <w:rPr>
          <w:rFonts w:ascii="Times New Roman" w:hAnsi="Times New Roman" w:cs="Times New Roman"/>
          <w:sz w:val="18"/>
          <w:szCs w:val="18"/>
        </w:rPr>
        <w:t>Outlet pressure: 101.3 kPa (atmospheric reference)</w:t>
      </w:r>
    </w:p>
    <w:p w14:paraId="4CAEB3D0"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 80°C water temperature represents maximum expected coolant temperature exiting the radar array under worst-case conditions (high ambient, full transmit power). In practice, temperatures will typically run 60-70°C, but we design for extremes.</w:t>
      </w:r>
    </w:p>
    <w:p w14:paraId="653504E8" w14:textId="71040502"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Water properties used the software's built-in temperature-dependent data</w:t>
      </w:r>
      <w:r w:rsidR="00AB18DA">
        <w:rPr>
          <w:rFonts w:ascii="Times New Roman" w:hAnsi="Times New Roman" w:cs="Times New Roman"/>
          <w:sz w:val="18"/>
          <w:szCs w:val="18"/>
        </w:rPr>
        <w:t>.</w:t>
      </w:r>
    </w:p>
    <w:p w14:paraId="26FAF7AE"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2.4 Data Processing and Performance Metrics</w:t>
      </w:r>
    </w:p>
    <w:p w14:paraId="04FC9D57"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After convergence, we extracted several performance metrics relevant to radar thermal design:</w:t>
      </w:r>
    </w:p>
    <w:p w14:paraId="6A2CBEE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Heat Transfer Rate</w:t>
      </w:r>
      <w:r w:rsidRPr="00E41D94">
        <w:rPr>
          <w:rFonts w:ascii="Times New Roman" w:hAnsi="Times New Roman" w:cs="Times New Roman"/>
          <w:sz w:val="18"/>
          <w:szCs w:val="18"/>
        </w:rPr>
        <w:t>: Calculated from water-side energy balance (mass flow × specific heat × temperature drop). Cross-checked against refrigerant-side energy balance; discrepancies stayed under 2% for all cases.</w:t>
      </w:r>
    </w:p>
    <w:p w14:paraId="51A3F1B7"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Nusselt Number</w:t>
      </w:r>
      <w:r w:rsidRPr="00E41D94">
        <w:rPr>
          <w:rFonts w:ascii="Times New Roman" w:hAnsi="Times New Roman" w:cs="Times New Roman"/>
          <w:sz w:val="18"/>
          <w:szCs w:val="18"/>
        </w:rPr>
        <w:t>: Computed from local heat transfer coefficients normalized by thermal conductivity and hydraulic diameter. Both local and surface-averaged values were extracted for analysis.</w:t>
      </w:r>
    </w:p>
    <w:p w14:paraId="197CDED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Pressure Drop</w:t>
      </w:r>
      <w:r w:rsidRPr="00E41D94">
        <w:rPr>
          <w:rFonts w:ascii="Times New Roman" w:hAnsi="Times New Roman" w:cs="Times New Roman"/>
          <w:sz w:val="18"/>
          <w:szCs w:val="18"/>
        </w:rPr>
        <w:t>: Direct measurement between water inlet and outlet. Critical for pump sizing and power budget calculations.</w:t>
      </w:r>
    </w:p>
    <w:p w14:paraId="667E6E8B"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Thermal Effectiveness</w:t>
      </w:r>
      <w:r w:rsidRPr="00E41D94">
        <w:rPr>
          <w:rFonts w:ascii="Times New Roman" w:hAnsi="Times New Roman" w:cs="Times New Roman"/>
          <w:sz w:val="18"/>
          <w:szCs w:val="18"/>
        </w:rPr>
        <w:t>: Ratio of actual heat transfer to theoretical maximum between the two streams. Indicates how well the heat exchanger exploits the available temperature difference.</w:t>
      </w:r>
    </w:p>
    <w:p w14:paraId="1B63B56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Reynolds Number</w:t>
      </w:r>
      <w:r w:rsidRPr="00E41D94">
        <w:rPr>
          <w:rFonts w:ascii="Times New Roman" w:hAnsi="Times New Roman" w:cs="Times New Roman"/>
          <w:sz w:val="18"/>
          <w:szCs w:val="18"/>
        </w:rPr>
        <w:t>: Calculated from mass flow, fluid properties, and annular hydraulic diameter to characterize flow regime.</w:t>
      </w:r>
    </w:p>
    <w:p w14:paraId="68446177" w14:textId="4A4EF4BA"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We also generated flow visualizations (streamlines, temperature contours) to understand thermal-hydraulic coupling mechanisms not obvious from bulk performance numbers.</w:t>
      </w:r>
    </w:p>
    <w:p w14:paraId="225C0F83"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3. Results and Analysis</w:t>
      </w:r>
    </w:p>
    <w:p w14:paraId="40CBE30A"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3.1 Flow Structure and Thermal Patterns</w:t>
      </w:r>
    </w:p>
    <w:p w14:paraId="68D1D74A" w14:textId="77777777" w:rsid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Figure 1 shows streamline patterns for the three cases. At 0.1 kg/s, flow appears relatively organized with smooth streamlines—characteristic of lower turbulence intensity. The 0.3 kg/s case displays noticeably more complex flow </w:t>
      </w:r>
      <w:r w:rsidRPr="00E41D94">
        <w:rPr>
          <w:rFonts w:ascii="Times New Roman" w:hAnsi="Times New Roman" w:cs="Times New Roman"/>
          <w:sz w:val="18"/>
          <w:szCs w:val="18"/>
        </w:rPr>
        <w:t>structure with enhanced mixing, particularly in the entrance region. At 0.5 kg/s, highly chaotic streamlines indicate vigorous turbulent transport.</w:t>
      </w:r>
    </w:p>
    <w:p w14:paraId="1CF83C44" w14:textId="7A2CB45F" w:rsidR="00AB18DA" w:rsidRPr="00E41D94" w:rsidRDefault="00AB18DA" w:rsidP="00E41D94">
      <w:pPr>
        <w:jc w:val="both"/>
        <w:rPr>
          <w:rFonts w:ascii="Times New Roman" w:hAnsi="Times New Roman" w:cs="Times New Roman"/>
          <w:sz w:val="18"/>
          <w:szCs w:val="18"/>
        </w:rPr>
      </w:pPr>
      <w:r>
        <w:rPr>
          <w:noProof/>
        </w:rPr>
        <w:drawing>
          <wp:inline distT="0" distB="0" distL="0" distR="0" wp14:anchorId="20109F25" wp14:editId="06E0C8EB">
            <wp:extent cx="2640965" cy="1152525"/>
            <wp:effectExtent l="0" t="0" r="6985" b="9525"/>
            <wp:docPr id="778814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814349" name=""/>
                    <pic:cNvPicPr/>
                  </pic:nvPicPr>
                  <pic:blipFill>
                    <a:blip r:embed="rId5"/>
                    <a:stretch>
                      <a:fillRect/>
                    </a:stretch>
                  </pic:blipFill>
                  <pic:spPr>
                    <a:xfrm>
                      <a:off x="0" y="0"/>
                      <a:ext cx="2640965" cy="1152525"/>
                    </a:xfrm>
                    <a:prstGeom prst="rect">
                      <a:avLst/>
                    </a:prstGeom>
                  </pic:spPr>
                </pic:pic>
              </a:graphicData>
            </a:graphic>
          </wp:inline>
        </w:drawing>
      </w:r>
    </w:p>
    <w:p w14:paraId="553D17DC" w14:textId="29B5C92C" w:rsidR="00E41D94" w:rsidRPr="00E41D94" w:rsidRDefault="00E41D94" w:rsidP="00AB18DA">
      <w:pPr>
        <w:rPr>
          <w:rFonts w:ascii="Times New Roman" w:hAnsi="Times New Roman" w:cs="Times New Roman"/>
          <w:sz w:val="18"/>
          <w:szCs w:val="18"/>
        </w:rPr>
      </w:pPr>
      <w:r w:rsidRPr="00E41D94">
        <w:rPr>
          <w:rFonts w:ascii="Times New Roman" w:hAnsi="Times New Roman" w:cs="Times New Roman"/>
          <w:sz w:val="16"/>
          <w:szCs w:val="16"/>
        </w:rPr>
        <w:t>FIGURE 1: Streamline Visualizations</w:t>
      </w:r>
      <w:r w:rsidRPr="00E41D94">
        <w:rPr>
          <w:rFonts w:ascii="Times New Roman" w:hAnsi="Times New Roman" w:cs="Times New Roman"/>
          <w:sz w:val="18"/>
          <w:szCs w:val="18"/>
        </w:rPr>
        <w:br/>
      </w:r>
      <w:r w:rsidRPr="00E41D94">
        <w:rPr>
          <w:rFonts w:ascii="Times New Roman" w:hAnsi="Times New Roman" w:cs="Times New Roman"/>
          <w:i/>
          <w:iCs/>
          <w:sz w:val="18"/>
          <w:szCs w:val="18"/>
        </w:rPr>
        <w:t>Computed water flow patterns: (left) 0.1 kg/s showing organized flow structure, (center) 0.3 kg/s with enhanced turbulent mixing, (right) 0.5 kg/s displaying highly turbulent character with strong secondary flows.</w:t>
      </w:r>
    </w:p>
    <w:p w14:paraId="23C934EE" w14:textId="77777777" w:rsid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Temperature distributions (Figure 2) reveal corresponding thermal </w:t>
      </w:r>
      <w:proofErr w:type="spellStart"/>
      <w:r w:rsidRPr="00E41D94">
        <w:rPr>
          <w:rFonts w:ascii="Times New Roman" w:hAnsi="Times New Roman" w:cs="Times New Roman"/>
          <w:sz w:val="18"/>
          <w:szCs w:val="18"/>
        </w:rPr>
        <w:t>behavior</w:t>
      </w:r>
      <w:proofErr w:type="spellEnd"/>
      <w:r w:rsidRPr="00E41D94">
        <w:rPr>
          <w:rFonts w:ascii="Times New Roman" w:hAnsi="Times New Roman" w:cs="Times New Roman"/>
          <w:sz w:val="18"/>
          <w:szCs w:val="18"/>
        </w:rPr>
        <w:t>. Low flow shows gradual temperature development along the exchanger length. Medium flow exhibits steeper thermal gradients, especially near the inlet where hot water first contacts cold walls. High flow produces very rapid temperature changes in the entrance zone—the first 150 mm handles a disproportionate fraction of total heat transfer.</w:t>
      </w:r>
    </w:p>
    <w:p w14:paraId="2C5D3E5F" w14:textId="102E7D1C" w:rsidR="00AB18DA" w:rsidRPr="00E41D94" w:rsidRDefault="00AB18DA" w:rsidP="00E41D94">
      <w:pPr>
        <w:jc w:val="both"/>
        <w:rPr>
          <w:rFonts w:ascii="Times New Roman" w:hAnsi="Times New Roman" w:cs="Times New Roman"/>
          <w:sz w:val="18"/>
          <w:szCs w:val="18"/>
        </w:rPr>
      </w:pPr>
      <w:r>
        <w:rPr>
          <w:noProof/>
        </w:rPr>
        <w:drawing>
          <wp:inline distT="0" distB="0" distL="0" distR="0" wp14:anchorId="6282504B" wp14:editId="62F0681C">
            <wp:extent cx="2640965" cy="775970"/>
            <wp:effectExtent l="0" t="0" r="6985" b="5080"/>
            <wp:docPr id="1205452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452806" name=""/>
                    <pic:cNvPicPr/>
                  </pic:nvPicPr>
                  <pic:blipFill>
                    <a:blip r:embed="rId6"/>
                    <a:stretch>
                      <a:fillRect/>
                    </a:stretch>
                  </pic:blipFill>
                  <pic:spPr>
                    <a:xfrm>
                      <a:off x="0" y="0"/>
                      <a:ext cx="2640965" cy="775970"/>
                    </a:xfrm>
                    <a:prstGeom prst="rect">
                      <a:avLst/>
                    </a:prstGeom>
                  </pic:spPr>
                </pic:pic>
              </a:graphicData>
            </a:graphic>
          </wp:inline>
        </w:drawing>
      </w:r>
    </w:p>
    <w:p w14:paraId="79005869" w14:textId="371D6900" w:rsidR="00E41D94" w:rsidRPr="00E41D94" w:rsidRDefault="00E41D94" w:rsidP="00AB18DA">
      <w:pPr>
        <w:rPr>
          <w:rFonts w:ascii="Times New Roman" w:hAnsi="Times New Roman" w:cs="Times New Roman"/>
          <w:sz w:val="18"/>
          <w:szCs w:val="18"/>
        </w:rPr>
      </w:pPr>
      <w:r w:rsidRPr="00E41D94">
        <w:rPr>
          <w:rFonts w:ascii="Times New Roman" w:hAnsi="Times New Roman" w:cs="Times New Roman"/>
          <w:sz w:val="16"/>
          <w:szCs w:val="16"/>
        </w:rPr>
        <w:t>FIGURE 2: Temperature Contour Analysis</w:t>
      </w:r>
      <w:r w:rsidRPr="00E41D94">
        <w:rPr>
          <w:rFonts w:ascii="Times New Roman" w:hAnsi="Times New Roman" w:cs="Times New Roman"/>
          <w:sz w:val="16"/>
          <w:szCs w:val="16"/>
        </w:rPr>
        <w:br/>
      </w:r>
      <w:r w:rsidRPr="00E41D94">
        <w:rPr>
          <w:rFonts w:ascii="Times New Roman" w:hAnsi="Times New Roman" w:cs="Times New Roman"/>
          <w:i/>
          <w:iCs/>
          <w:sz w:val="18"/>
          <w:szCs w:val="18"/>
        </w:rPr>
        <w:t>Thermal field distributions: (left) 0.1 kg/s with gradual temperature evolution, (center) 0.3 kg/s showing enhanced thermal gradients, (right) 0.5 kg/s demonstrating rapid heat transfer in entrance region.</w:t>
      </w:r>
    </w:p>
    <w:p w14:paraId="1D4CBF10"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This entrance effect has design implications. For space-constrained radar applications, we might achieve 70-80% of the thermal performance with only 60% of the length by leveraging the high entrance region heat transfer. This trade-off between size and performance is exactly the type of insight we needed from this analysis.</w:t>
      </w:r>
    </w:p>
    <w:p w14:paraId="244A99AA"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3.2 Heat Transfer Performance</w:t>
      </w:r>
    </w:p>
    <w:p w14:paraId="5CF5C1DC" w14:textId="77777777" w:rsid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Figure 3 presents the Nusselt number data extracted from the three simulations. As expected, increasing water flow systematically improves dimensionless heat transfer coefficient. However, the relationship shows diminishing returns—doubling flow from 0.1 to 0.2 kg/s would likely produce larger Nusselt number gains than increasing from 0.4 to 0.5 kg/s.</w:t>
      </w:r>
    </w:p>
    <w:p w14:paraId="100DE76F" w14:textId="00744A18" w:rsidR="00AB18DA" w:rsidRDefault="00AB18DA" w:rsidP="00E41D94">
      <w:pPr>
        <w:jc w:val="both"/>
        <w:rPr>
          <w:rFonts w:ascii="Times New Roman" w:hAnsi="Times New Roman" w:cs="Times New Roman"/>
          <w:sz w:val="18"/>
          <w:szCs w:val="18"/>
        </w:rPr>
      </w:pPr>
      <w:r>
        <w:rPr>
          <w:noProof/>
        </w:rPr>
        <w:drawing>
          <wp:inline distT="0" distB="0" distL="0" distR="0" wp14:anchorId="084B3A1D" wp14:editId="4558C5F3">
            <wp:extent cx="2640965" cy="272415"/>
            <wp:effectExtent l="0" t="0" r="6985" b="0"/>
            <wp:docPr id="1572354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35403" name=""/>
                    <pic:cNvPicPr/>
                  </pic:nvPicPr>
                  <pic:blipFill>
                    <a:blip r:embed="rId7"/>
                    <a:stretch>
                      <a:fillRect/>
                    </a:stretch>
                  </pic:blipFill>
                  <pic:spPr>
                    <a:xfrm>
                      <a:off x="0" y="0"/>
                      <a:ext cx="2640965" cy="272415"/>
                    </a:xfrm>
                    <a:prstGeom prst="rect">
                      <a:avLst/>
                    </a:prstGeom>
                  </pic:spPr>
                </pic:pic>
              </a:graphicData>
            </a:graphic>
          </wp:inline>
        </w:drawing>
      </w:r>
    </w:p>
    <w:p w14:paraId="28269DCB" w14:textId="6C8049F0" w:rsidR="008B1291" w:rsidRPr="00E41D94" w:rsidRDefault="008B1291" w:rsidP="008B1291">
      <w:pPr>
        <w:jc w:val="center"/>
        <w:rPr>
          <w:rFonts w:ascii="Times New Roman" w:hAnsi="Times New Roman" w:cs="Times New Roman"/>
          <w:sz w:val="16"/>
          <w:szCs w:val="16"/>
        </w:rPr>
      </w:pPr>
      <w:r w:rsidRPr="00E41D94">
        <w:rPr>
          <w:rFonts w:ascii="Times New Roman" w:hAnsi="Times New Roman" w:cs="Times New Roman"/>
          <w:sz w:val="16"/>
          <w:szCs w:val="16"/>
        </w:rPr>
        <w:t>Case A</w:t>
      </w:r>
    </w:p>
    <w:p w14:paraId="535394EC" w14:textId="48850038" w:rsidR="008B1291" w:rsidRDefault="008B1291" w:rsidP="00AB18DA">
      <w:pPr>
        <w:rPr>
          <w:rFonts w:ascii="Times New Roman" w:hAnsi="Times New Roman" w:cs="Times New Roman"/>
          <w:sz w:val="16"/>
          <w:szCs w:val="16"/>
        </w:rPr>
      </w:pPr>
      <w:r>
        <w:rPr>
          <w:noProof/>
        </w:rPr>
        <w:lastRenderedPageBreak/>
        <w:drawing>
          <wp:inline distT="0" distB="0" distL="0" distR="0" wp14:anchorId="3166400F" wp14:editId="2FFBB775">
            <wp:extent cx="2640965" cy="278130"/>
            <wp:effectExtent l="0" t="0" r="6985" b="7620"/>
            <wp:docPr id="888626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626981" name=""/>
                    <pic:cNvPicPr/>
                  </pic:nvPicPr>
                  <pic:blipFill>
                    <a:blip r:embed="rId8"/>
                    <a:stretch>
                      <a:fillRect/>
                    </a:stretch>
                  </pic:blipFill>
                  <pic:spPr>
                    <a:xfrm>
                      <a:off x="0" y="0"/>
                      <a:ext cx="2640965" cy="278130"/>
                    </a:xfrm>
                    <a:prstGeom prst="rect">
                      <a:avLst/>
                    </a:prstGeom>
                  </pic:spPr>
                </pic:pic>
              </a:graphicData>
            </a:graphic>
          </wp:inline>
        </w:drawing>
      </w:r>
    </w:p>
    <w:p w14:paraId="15F038AD" w14:textId="520F6A5F" w:rsidR="008B1291" w:rsidRDefault="008B1291" w:rsidP="008B1291">
      <w:pPr>
        <w:jc w:val="center"/>
        <w:rPr>
          <w:rFonts w:ascii="Times New Roman" w:hAnsi="Times New Roman" w:cs="Times New Roman"/>
          <w:sz w:val="16"/>
          <w:szCs w:val="16"/>
        </w:rPr>
      </w:pPr>
      <w:r w:rsidRPr="00E41D94">
        <w:rPr>
          <w:rFonts w:ascii="Times New Roman" w:hAnsi="Times New Roman" w:cs="Times New Roman"/>
          <w:sz w:val="16"/>
          <w:szCs w:val="16"/>
        </w:rPr>
        <w:t xml:space="preserve">Case </w:t>
      </w:r>
      <w:r>
        <w:rPr>
          <w:rFonts w:ascii="Times New Roman" w:hAnsi="Times New Roman" w:cs="Times New Roman"/>
          <w:sz w:val="16"/>
          <w:szCs w:val="16"/>
        </w:rPr>
        <w:t>B</w:t>
      </w:r>
    </w:p>
    <w:p w14:paraId="7F00BD97" w14:textId="7275A408" w:rsidR="008B1291" w:rsidRDefault="008B1291" w:rsidP="00AB18DA">
      <w:pPr>
        <w:rPr>
          <w:rFonts w:ascii="Times New Roman" w:hAnsi="Times New Roman" w:cs="Times New Roman"/>
          <w:sz w:val="16"/>
          <w:szCs w:val="16"/>
        </w:rPr>
      </w:pPr>
      <w:r>
        <w:rPr>
          <w:noProof/>
        </w:rPr>
        <w:drawing>
          <wp:inline distT="0" distB="0" distL="0" distR="0" wp14:anchorId="2622CADB" wp14:editId="314E0799">
            <wp:extent cx="2640965" cy="262255"/>
            <wp:effectExtent l="0" t="0" r="6985" b="4445"/>
            <wp:docPr id="1118861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861551" name=""/>
                    <pic:cNvPicPr/>
                  </pic:nvPicPr>
                  <pic:blipFill>
                    <a:blip r:embed="rId9"/>
                    <a:stretch>
                      <a:fillRect/>
                    </a:stretch>
                  </pic:blipFill>
                  <pic:spPr>
                    <a:xfrm>
                      <a:off x="0" y="0"/>
                      <a:ext cx="2640965" cy="262255"/>
                    </a:xfrm>
                    <a:prstGeom prst="rect">
                      <a:avLst/>
                    </a:prstGeom>
                  </pic:spPr>
                </pic:pic>
              </a:graphicData>
            </a:graphic>
          </wp:inline>
        </w:drawing>
      </w:r>
    </w:p>
    <w:p w14:paraId="646EDE20" w14:textId="3470A072" w:rsidR="008B1291" w:rsidRDefault="008B1291" w:rsidP="008B1291">
      <w:pPr>
        <w:jc w:val="center"/>
        <w:rPr>
          <w:rFonts w:ascii="Times New Roman" w:hAnsi="Times New Roman" w:cs="Times New Roman"/>
          <w:sz w:val="16"/>
          <w:szCs w:val="16"/>
        </w:rPr>
      </w:pPr>
      <w:r w:rsidRPr="00E41D94">
        <w:rPr>
          <w:rFonts w:ascii="Times New Roman" w:hAnsi="Times New Roman" w:cs="Times New Roman"/>
          <w:sz w:val="16"/>
          <w:szCs w:val="16"/>
        </w:rPr>
        <w:t xml:space="preserve">Case </w:t>
      </w:r>
      <w:r>
        <w:rPr>
          <w:rFonts w:ascii="Times New Roman" w:hAnsi="Times New Roman" w:cs="Times New Roman"/>
          <w:sz w:val="16"/>
          <w:szCs w:val="16"/>
        </w:rPr>
        <w:t>C</w:t>
      </w:r>
    </w:p>
    <w:p w14:paraId="5B1AEA1D" w14:textId="24AB1BBB" w:rsidR="00E41D94" w:rsidRPr="00E41D94" w:rsidRDefault="00E41D94" w:rsidP="00AB18DA">
      <w:pPr>
        <w:rPr>
          <w:rFonts w:ascii="Times New Roman" w:hAnsi="Times New Roman" w:cs="Times New Roman"/>
          <w:sz w:val="18"/>
          <w:szCs w:val="18"/>
        </w:rPr>
      </w:pPr>
      <w:r w:rsidRPr="00E41D94">
        <w:rPr>
          <w:rFonts w:ascii="Times New Roman" w:hAnsi="Times New Roman" w:cs="Times New Roman"/>
          <w:sz w:val="16"/>
          <w:szCs w:val="16"/>
        </w:rPr>
        <w:t>FIGURE 3: Nusselt Number Comparison</w:t>
      </w:r>
      <w:r w:rsidRPr="00E41D94">
        <w:rPr>
          <w:rFonts w:ascii="Times New Roman" w:hAnsi="Times New Roman" w:cs="Times New Roman"/>
          <w:sz w:val="16"/>
          <w:szCs w:val="16"/>
        </w:rPr>
        <w:br/>
      </w:r>
      <w:r w:rsidRPr="00E41D94">
        <w:rPr>
          <w:rFonts w:ascii="Times New Roman" w:hAnsi="Times New Roman" w:cs="Times New Roman"/>
          <w:sz w:val="18"/>
          <w:szCs w:val="18"/>
        </w:rPr>
        <w:t>Case A (0.1 kg/s), Case B (0.3 kg/s), and Case C (0.5 kg/s) showing systematic increase in heat transfer performance with flow rate.</w:t>
      </w:r>
    </w:p>
    <w:p w14:paraId="32944888"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We observed significant axial variation in local Nusselt number. Near the inlet, values run 20-30% above the spatial average. This persists for roughly 15-20 hydraulic diameters before flow becomes thermally developed. For our 500 mm length exchanger, the first 150-200 mm provides disproportionate thermal benefit.</w:t>
      </w:r>
    </w:p>
    <w:p w14:paraId="7DAF55C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Quantitatively, heat transfer rates increased as follows:</w:t>
      </w:r>
    </w:p>
    <w:p w14:paraId="4A79D0D6" w14:textId="77777777" w:rsidR="00E41D94" w:rsidRPr="00E41D94" w:rsidRDefault="00E41D94" w:rsidP="00E41D94">
      <w:pPr>
        <w:numPr>
          <w:ilvl w:val="0"/>
          <w:numId w:val="7"/>
        </w:numPr>
        <w:jc w:val="both"/>
        <w:rPr>
          <w:rFonts w:ascii="Times New Roman" w:hAnsi="Times New Roman" w:cs="Times New Roman"/>
          <w:sz w:val="18"/>
          <w:szCs w:val="18"/>
        </w:rPr>
      </w:pPr>
      <w:r w:rsidRPr="00E41D94">
        <w:rPr>
          <w:rFonts w:ascii="Times New Roman" w:hAnsi="Times New Roman" w:cs="Times New Roman"/>
          <w:b/>
          <w:bCs/>
          <w:sz w:val="18"/>
          <w:szCs w:val="18"/>
        </w:rPr>
        <w:t>0.1 kg/s</w:t>
      </w:r>
      <w:r w:rsidRPr="00E41D94">
        <w:rPr>
          <w:rFonts w:ascii="Times New Roman" w:hAnsi="Times New Roman" w:cs="Times New Roman"/>
          <w:sz w:val="18"/>
          <w:szCs w:val="18"/>
        </w:rPr>
        <w:t>: Baseline thermal performance</w:t>
      </w:r>
    </w:p>
    <w:p w14:paraId="3E4D882B" w14:textId="77777777" w:rsidR="00E41D94" w:rsidRPr="00E41D94" w:rsidRDefault="00E41D94" w:rsidP="00E41D94">
      <w:pPr>
        <w:numPr>
          <w:ilvl w:val="0"/>
          <w:numId w:val="7"/>
        </w:numPr>
        <w:jc w:val="both"/>
        <w:rPr>
          <w:rFonts w:ascii="Times New Roman" w:hAnsi="Times New Roman" w:cs="Times New Roman"/>
          <w:sz w:val="18"/>
          <w:szCs w:val="18"/>
        </w:rPr>
      </w:pPr>
      <w:r w:rsidRPr="00E41D94">
        <w:rPr>
          <w:rFonts w:ascii="Times New Roman" w:hAnsi="Times New Roman" w:cs="Times New Roman"/>
          <w:b/>
          <w:bCs/>
          <w:sz w:val="18"/>
          <w:szCs w:val="18"/>
        </w:rPr>
        <w:t>0.3 kg/s</w:t>
      </w:r>
      <w:r w:rsidRPr="00E41D94">
        <w:rPr>
          <w:rFonts w:ascii="Times New Roman" w:hAnsi="Times New Roman" w:cs="Times New Roman"/>
          <w:sz w:val="18"/>
          <w:szCs w:val="18"/>
        </w:rPr>
        <w:t>: Approximately 2.2× heat transfer compared to 0.1 kg/s</w:t>
      </w:r>
    </w:p>
    <w:p w14:paraId="3F6DBF13" w14:textId="77777777" w:rsidR="00E41D94" w:rsidRPr="00E41D94" w:rsidRDefault="00E41D94" w:rsidP="00E41D94">
      <w:pPr>
        <w:numPr>
          <w:ilvl w:val="0"/>
          <w:numId w:val="7"/>
        </w:numPr>
        <w:jc w:val="both"/>
        <w:rPr>
          <w:rFonts w:ascii="Times New Roman" w:hAnsi="Times New Roman" w:cs="Times New Roman"/>
          <w:sz w:val="18"/>
          <w:szCs w:val="18"/>
        </w:rPr>
      </w:pPr>
      <w:r w:rsidRPr="00E41D94">
        <w:rPr>
          <w:rFonts w:ascii="Times New Roman" w:hAnsi="Times New Roman" w:cs="Times New Roman"/>
          <w:b/>
          <w:bCs/>
          <w:sz w:val="18"/>
          <w:szCs w:val="18"/>
        </w:rPr>
        <w:t>0.5 kg/s</w:t>
      </w:r>
      <w:r w:rsidRPr="00E41D94">
        <w:rPr>
          <w:rFonts w:ascii="Times New Roman" w:hAnsi="Times New Roman" w:cs="Times New Roman"/>
          <w:sz w:val="18"/>
          <w:szCs w:val="18"/>
        </w:rPr>
        <w:t>: Approximately 2.5× heat transfer compared to 0.1 kg/s</w:t>
      </w:r>
    </w:p>
    <w:p w14:paraId="7048137E" w14:textId="122A9A38"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 nonlinearity arises from competing effects. Higher flow increases convective heat transfer coefficients (</w:t>
      </w:r>
      <w:r w:rsidR="008B1291" w:rsidRPr="00E41D94">
        <w:rPr>
          <w:rFonts w:ascii="Times New Roman" w:hAnsi="Times New Roman" w:cs="Times New Roman"/>
          <w:sz w:val="18"/>
          <w:szCs w:val="18"/>
        </w:rPr>
        <w:t>favourable</w:t>
      </w:r>
      <w:r w:rsidRPr="00E41D94">
        <w:rPr>
          <w:rFonts w:ascii="Times New Roman" w:hAnsi="Times New Roman" w:cs="Times New Roman"/>
          <w:sz w:val="18"/>
          <w:szCs w:val="18"/>
        </w:rPr>
        <w:t>) but reduces temperature differences because water doesn't cool as much in a single pass (</w:t>
      </w:r>
      <w:r w:rsidR="008B1291" w:rsidRPr="00E41D94">
        <w:rPr>
          <w:rFonts w:ascii="Times New Roman" w:hAnsi="Times New Roman" w:cs="Times New Roman"/>
          <w:sz w:val="18"/>
          <w:szCs w:val="18"/>
        </w:rPr>
        <w:t>unfavourable</w:t>
      </w:r>
      <w:r w:rsidRPr="00E41D94">
        <w:rPr>
          <w:rFonts w:ascii="Times New Roman" w:hAnsi="Times New Roman" w:cs="Times New Roman"/>
          <w:sz w:val="18"/>
          <w:szCs w:val="18"/>
        </w:rPr>
        <w:t>). Net result: heat transfer improves but at diminishing rate.</w:t>
      </w:r>
    </w:p>
    <w:p w14:paraId="1820AF94"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Thermal effectiveness values provide another perspective:</w:t>
      </w:r>
    </w:p>
    <w:p w14:paraId="38FC7C56" w14:textId="77777777" w:rsidR="00E41D94" w:rsidRPr="00E41D94" w:rsidRDefault="00E41D94" w:rsidP="00E41D94">
      <w:pPr>
        <w:numPr>
          <w:ilvl w:val="0"/>
          <w:numId w:val="8"/>
        </w:numPr>
        <w:jc w:val="both"/>
        <w:rPr>
          <w:rFonts w:ascii="Times New Roman" w:hAnsi="Times New Roman" w:cs="Times New Roman"/>
          <w:sz w:val="18"/>
          <w:szCs w:val="18"/>
        </w:rPr>
      </w:pPr>
      <w:r w:rsidRPr="00E41D94">
        <w:rPr>
          <w:rFonts w:ascii="Times New Roman" w:hAnsi="Times New Roman" w:cs="Times New Roman"/>
          <w:b/>
          <w:bCs/>
          <w:sz w:val="18"/>
          <w:szCs w:val="18"/>
        </w:rPr>
        <w:t>0.1 kg/s</w:t>
      </w:r>
      <w:r w:rsidRPr="00E41D94">
        <w:rPr>
          <w:rFonts w:ascii="Times New Roman" w:hAnsi="Times New Roman" w:cs="Times New Roman"/>
          <w:sz w:val="18"/>
          <w:szCs w:val="18"/>
        </w:rPr>
        <w:t>: ε ≈ 0.58 (captures 58% of theoretical maximum)</w:t>
      </w:r>
    </w:p>
    <w:p w14:paraId="493AB23A" w14:textId="77777777" w:rsidR="00E41D94" w:rsidRPr="00E41D94" w:rsidRDefault="00E41D94" w:rsidP="00E41D94">
      <w:pPr>
        <w:numPr>
          <w:ilvl w:val="0"/>
          <w:numId w:val="8"/>
        </w:numPr>
        <w:jc w:val="both"/>
        <w:rPr>
          <w:rFonts w:ascii="Times New Roman" w:hAnsi="Times New Roman" w:cs="Times New Roman"/>
          <w:sz w:val="18"/>
          <w:szCs w:val="18"/>
        </w:rPr>
      </w:pPr>
      <w:r w:rsidRPr="00E41D94">
        <w:rPr>
          <w:rFonts w:ascii="Times New Roman" w:hAnsi="Times New Roman" w:cs="Times New Roman"/>
          <w:b/>
          <w:bCs/>
          <w:sz w:val="18"/>
          <w:szCs w:val="18"/>
        </w:rPr>
        <w:t>0.3 kg/s</w:t>
      </w:r>
      <w:r w:rsidRPr="00E41D94">
        <w:rPr>
          <w:rFonts w:ascii="Times New Roman" w:hAnsi="Times New Roman" w:cs="Times New Roman"/>
          <w:sz w:val="18"/>
          <w:szCs w:val="18"/>
        </w:rPr>
        <w:t>: ε ≈ 0.70 (70% of maximum)</w:t>
      </w:r>
    </w:p>
    <w:p w14:paraId="6BD443BE" w14:textId="77777777" w:rsidR="00E41D94" w:rsidRPr="00E41D94" w:rsidRDefault="00E41D94" w:rsidP="00E41D94">
      <w:pPr>
        <w:numPr>
          <w:ilvl w:val="0"/>
          <w:numId w:val="8"/>
        </w:numPr>
        <w:jc w:val="both"/>
        <w:rPr>
          <w:rFonts w:ascii="Times New Roman" w:hAnsi="Times New Roman" w:cs="Times New Roman"/>
          <w:sz w:val="18"/>
          <w:szCs w:val="18"/>
        </w:rPr>
      </w:pPr>
      <w:r w:rsidRPr="00E41D94">
        <w:rPr>
          <w:rFonts w:ascii="Times New Roman" w:hAnsi="Times New Roman" w:cs="Times New Roman"/>
          <w:b/>
          <w:bCs/>
          <w:sz w:val="18"/>
          <w:szCs w:val="18"/>
        </w:rPr>
        <w:t>0.5 kg/s</w:t>
      </w:r>
      <w:r w:rsidRPr="00E41D94">
        <w:rPr>
          <w:rFonts w:ascii="Times New Roman" w:hAnsi="Times New Roman" w:cs="Times New Roman"/>
          <w:sz w:val="18"/>
          <w:szCs w:val="18"/>
        </w:rPr>
        <w:t>: ε ≈ 0.77 (77% of maximum)</w:t>
      </w:r>
    </w:p>
    <w:p w14:paraId="4937C6B6"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That 0.77 effectiveness at high flow is actually quite good for a practical heat exchanger. Reaching 0.85-0.90 would require much larger surface area or extreme flow rates—both undesirable for radar applications with size and power constraints.</w:t>
      </w:r>
    </w:p>
    <w:p w14:paraId="7BCF032A" w14:textId="076B08B3"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 xml:space="preserve">3.3 Pressure Drop </w:t>
      </w:r>
    </w:p>
    <w:p w14:paraId="4FB9544C"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 flip side of enhanced heat transfer is increased pressure drop. Our calculations showed approximately quadratic scaling with flow rate:</w:t>
      </w:r>
    </w:p>
    <w:p w14:paraId="13E3D322" w14:textId="43314736" w:rsidR="00E41D94" w:rsidRPr="00E41D94" w:rsidRDefault="00E41D94" w:rsidP="00E41D94">
      <w:pPr>
        <w:numPr>
          <w:ilvl w:val="0"/>
          <w:numId w:val="9"/>
        </w:numPr>
        <w:jc w:val="both"/>
        <w:rPr>
          <w:rFonts w:ascii="Times New Roman" w:hAnsi="Times New Roman" w:cs="Times New Roman"/>
          <w:sz w:val="18"/>
          <w:szCs w:val="18"/>
        </w:rPr>
      </w:pPr>
      <w:r w:rsidRPr="00E41D94">
        <w:rPr>
          <w:rFonts w:ascii="Times New Roman" w:hAnsi="Times New Roman" w:cs="Times New Roman"/>
          <w:b/>
          <w:bCs/>
          <w:sz w:val="18"/>
          <w:szCs w:val="18"/>
        </w:rPr>
        <w:t>0.1 kg/s</w:t>
      </w:r>
      <w:r w:rsidRPr="00E41D94">
        <w:rPr>
          <w:rFonts w:ascii="Times New Roman" w:hAnsi="Times New Roman" w:cs="Times New Roman"/>
          <w:sz w:val="18"/>
          <w:szCs w:val="18"/>
        </w:rPr>
        <w:t xml:space="preserve">: Baseline pressure </w:t>
      </w:r>
      <w:r w:rsidR="00CF289A" w:rsidRPr="00E41D94">
        <w:rPr>
          <w:rFonts w:ascii="Times New Roman" w:hAnsi="Times New Roman" w:cs="Times New Roman"/>
          <w:sz w:val="18"/>
          <w:szCs w:val="18"/>
        </w:rPr>
        <w:t>drops</w:t>
      </w:r>
    </w:p>
    <w:p w14:paraId="26278BEE" w14:textId="550AACB1" w:rsidR="00E41D94" w:rsidRPr="00E41D94" w:rsidRDefault="00E41D94" w:rsidP="00E41D94">
      <w:pPr>
        <w:numPr>
          <w:ilvl w:val="0"/>
          <w:numId w:val="9"/>
        </w:numPr>
        <w:jc w:val="both"/>
        <w:rPr>
          <w:rFonts w:ascii="Times New Roman" w:hAnsi="Times New Roman" w:cs="Times New Roman"/>
          <w:sz w:val="18"/>
          <w:szCs w:val="18"/>
        </w:rPr>
      </w:pPr>
      <w:r w:rsidRPr="00E41D94">
        <w:rPr>
          <w:rFonts w:ascii="Times New Roman" w:hAnsi="Times New Roman" w:cs="Times New Roman"/>
          <w:b/>
          <w:bCs/>
          <w:sz w:val="18"/>
          <w:szCs w:val="18"/>
        </w:rPr>
        <w:t>0.3 kg/s</w:t>
      </w:r>
      <w:r w:rsidRPr="00E41D94">
        <w:rPr>
          <w:rFonts w:ascii="Times New Roman" w:hAnsi="Times New Roman" w:cs="Times New Roman"/>
          <w:sz w:val="18"/>
          <w:szCs w:val="18"/>
        </w:rPr>
        <w:t xml:space="preserve">: ~9× baseline pressure </w:t>
      </w:r>
      <w:r w:rsidR="00CF289A" w:rsidRPr="00E41D94">
        <w:rPr>
          <w:rFonts w:ascii="Times New Roman" w:hAnsi="Times New Roman" w:cs="Times New Roman"/>
          <w:sz w:val="18"/>
          <w:szCs w:val="18"/>
        </w:rPr>
        <w:t>drops</w:t>
      </w:r>
    </w:p>
    <w:p w14:paraId="562FF55D" w14:textId="306FBEDF" w:rsidR="00E41D94" w:rsidRPr="00E41D94" w:rsidRDefault="00E41D94" w:rsidP="00E41D94">
      <w:pPr>
        <w:numPr>
          <w:ilvl w:val="0"/>
          <w:numId w:val="9"/>
        </w:numPr>
        <w:jc w:val="both"/>
        <w:rPr>
          <w:rFonts w:ascii="Times New Roman" w:hAnsi="Times New Roman" w:cs="Times New Roman"/>
          <w:sz w:val="18"/>
          <w:szCs w:val="18"/>
        </w:rPr>
      </w:pPr>
      <w:r w:rsidRPr="00E41D94">
        <w:rPr>
          <w:rFonts w:ascii="Times New Roman" w:hAnsi="Times New Roman" w:cs="Times New Roman"/>
          <w:b/>
          <w:bCs/>
          <w:sz w:val="18"/>
          <w:szCs w:val="18"/>
        </w:rPr>
        <w:t>0.5 kg/s</w:t>
      </w:r>
      <w:r w:rsidRPr="00E41D94">
        <w:rPr>
          <w:rFonts w:ascii="Times New Roman" w:hAnsi="Times New Roman" w:cs="Times New Roman"/>
          <w:sz w:val="18"/>
          <w:szCs w:val="18"/>
        </w:rPr>
        <w:t xml:space="preserve">: ~14× baseline pressure </w:t>
      </w:r>
      <w:r w:rsidR="00CF289A" w:rsidRPr="00E41D94">
        <w:rPr>
          <w:rFonts w:ascii="Times New Roman" w:hAnsi="Times New Roman" w:cs="Times New Roman"/>
          <w:sz w:val="18"/>
          <w:szCs w:val="18"/>
        </w:rPr>
        <w:t>drops</w:t>
      </w:r>
    </w:p>
    <w:p w14:paraId="08E4CAB4" w14:textId="01C65B43"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Since pumping power scales as (flow rate × pressure drop), the 0.5 kg/s case requires roughly 23× more pump power than 0.1 kg/s while delivering only 2.5× the heat transfer. From a system efficiency standpoint, this trade-off becomes </w:t>
      </w:r>
      <w:r w:rsidR="008B1291" w:rsidRPr="00E41D94">
        <w:rPr>
          <w:rFonts w:ascii="Times New Roman" w:hAnsi="Times New Roman" w:cs="Times New Roman"/>
          <w:sz w:val="18"/>
          <w:szCs w:val="18"/>
        </w:rPr>
        <w:t>unfavourable</w:t>
      </w:r>
      <w:r w:rsidRPr="00E41D94">
        <w:rPr>
          <w:rFonts w:ascii="Times New Roman" w:hAnsi="Times New Roman" w:cs="Times New Roman"/>
          <w:sz w:val="18"/>
          <w:szCs w:val="18"/>
        </w:rPr>
        <w:t xml:space="preserve"> at high flows.</w:t>
      </w:r>
    </w:p>
    <w:p w14:paraId="4C410DAB"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For our radar application, this matters significantly. Electrical power budget for auxiliary systems (cooling, computers, displays) is fixed. Every watt consumed by the cooling pump is a watt unavailable for radar transmit power—directly reducing detection range. We need adequate cooling but can't afford wasteful pumping.</w:t>
      </w:r>
    </w:p>
    <w:p w14:paraId="001B3F80" w14:textId="598DC9A9"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MIL-STD Compliance</w:t>
      </w:r>
      <w:r w:rsidRPr="00E41D94">
        <w:rPr>
          <w:rFonts w:ascii="Times New Roman" w:hAnsi="Times New Roman" w:cs="Times New Roman"/>
          <w:sz w:val="18"/>
          <w:szCs w:val="18"/>
        </w:rPr>
        <w:t>: The predicted thermal performance suggests our heat exchanger design will meet MIL-STD-810H requirements for operation across -40°C to +63°C ambient temperatures, though we'll need additional analysis at temperature extremes to confirm.</w:t>
      </w:r>
    </w:p>
    <w:p w14:paraId="305FB01C"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4. Conclusions and Path Forward</w:t>
      </w:r>
    </w:p>
    <w:p w14:paraId="61F3F082" w14:textId="176858D3"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The analysis revealed that 0.3 kg/s represents an optimal compromise between thermal performance and pumping power consumption—delivering most of the available heat transfer benefit without excessive pressure penalties.</w:t>
      </w:r>
    </w:p>
    <w:p w14:paraId="665EA2FF"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Several key findings emerged from the work:</w:t>
      </w:r>
    </w:p>
    <w:p w14:paraId="57A00B38"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First, the strong entrance region thermal effects (20-30% higher local Nusselt numbers) suggest opportunities for geometric optimization in future designs. Enhanced surfaces strategically placed in high-gradient zones could boost performance in space-constrained radar applications.</w:t>
      </w:r>
    </w:p>
    <w:p w14:paraId="31DB437A" w14:textId="4B922D02"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Second, the nonlinear relationship between flow rate and thermal performance supports variable-speed pump control strategies. </w:t>
      </w:r>
    </w:p>
    <w:p w14:paraId="4E09768D" w14:textId="16426D2D"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Third, the refrigerant-side coupling effects (30-35% heat transfer coefficient variation) indicate that thermal design must consider the entire system, not just individual components. The water circuit, refrigerant loop</w:t>
      </w:r>
      <w:r w:rsidR="00CF289A">
        <w:rPr>
          <w:rFonts w:ascii="Times New Roman" w:hAnsi="Times New Roman" w:cs="Times New Roman"/>
          <w:sz w:val="18"/>
          <w:szCs w:val="18"/>
        </w:rPr>
        <w:t>.</w:t>
      </w:r>
    </w:p>
    <w:p w14:paraId="5C15D610" w14:textId="77777777"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5. Future Work at Kipco</w:t>
      </w:r>
    </w:p>
    <w:p w14:paraId="4CC211A8"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Our immediate next steps include:</w:t>
      </w:r>
    </w:p>
    <w:p w14:paraId="4C2C3ECF"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Experimental Validation</w:t>
      </w:r>
      <w:r w:rsidRPr="00E41D94">
        <w:rPr>
          <w:rFonts w:ascii="Times New Roman" w:hAnsi="Times New Roman" w:cs="Times New Roman"/>
          <w:sz w:val="18"/>
          <w:szCs w:val="18"/>
        </w:rPr>
        <w:t>: Building and testing a prototype heat exchanger to validate CFD predictions across the full environmental envelope (-40°C to +63°C ambient). Testing will follow MIL-STD-810H protocols including thermal shock, vibration, and altitude effects.</w:t>
      </w:r>
    </w:p>
    <w:p w14:paraId="587270CD"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Transient Analysis</w:t>
      </w:r>
      <w:r w:rsidRPr="00E41D94">
        <w:rPr>
          <w:rFonts w:ascii="Times New Roman" w:hAnsi="Times New Roman" w:cs="Times New Roman"/>
          <w:sz w:val="18"/>
          <w:szCs w:val="18"/>
        </w:rPr>
        <w:t>: Extending the computational work to model thermal response during radar power transitions. Understanding thermal time constants is critical for control algorithm development.</w:t>
      </w:r>
    </w:p>
    <w:p w14:paraId="395E4E00" w14:textId="4AF38A29"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Two-Phase Flow Investigation</w:t>
      </w:r>
      <w:r w:rsidRPr="00E41D94">
        <w:rPr>
          <w:rFonts w:ascii="Times New Roman" w:hAnsi="Times New Roman" w:cs="Times New Roman"/>
          <w:sz w:val="18"/>
          <w:szCs w:val="18"/>
        </w:rPr>
        <w:t xml:space="preserve">: Our analysis assumed single-phase R1234yf, but the actual refrigerant circuit will operate with phase change. This requires more sophisticated </w:t>
      </w:r>
      <w:r w:rsidR="00CF289A" w:rsidRPr="00E41D94">
        <w:rPr>
          <w:rFonts w:ascii="Times New Roman" w:hAnsi="Times New Roman" w:cs="Times New Roman"/>
          <w:sz w:val="18"/>
          <w:szCs w:val="18"/>
        </w:rPr>
        <w:t>modelling</w:t>
      </w:r>
      <w:r w:rsidRPr="00E41D94">
        <w:rPr>
          <w:rFonts w:ascii="Times New Roman" w:hAnsi="Times New Roman" w:cs="Times New Roman"/>
          <w:sz w:val="18"/>
          <w:szCs w:val="18"/>
        </w:rPr>
        <w:t xml:space="preserve"> to capture condensation effects.</w:t>
      </w:r>
    </w:p>
    <w:p w14:paraId="71E3348F"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lastRenderedPageBreak/>
        <w:t>Enhanced Surface Evaluation</w:t>
      </w:r>
      <w:r w:rsidRPr="00E41D94">
        <w:rPr>
          <w:rFonts w:ascii="Times New Roman" w:hAnsi="Times New Roman" w:cs="Times New Roman"/>
          <w:sz w:val="18"/>
          <w:szCs w:val="18"/>
        </w:rPr>
        <w:t>: Investigating microchannel inserts, turbulence promoters, or other enhancement techniques for the entrance region where thermal gradients are highest.</w:t>
      </w:r>
    </w:p>
    <w:p w14:paraId="346434A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Alternative Refrigerants</w:t>
      </w:r>
      <w:r w:rsidRPr="00E41D94">
        <w:rPr>
          <w:rFonts w:ascii="Times New Roman" w:hAnsi="Times New Roman" w:cs="Times New Roman"/>
          <w:sz w:val="18"/>
          <w:szCs w:val="18"/>
        </w:rPr>
        <w:t>: Evaluating other low-GWP refrigerants (R1233zd, R515B) to determine if better thermal-hydraulic performance is available while maintaining environmental compliance.</w:t>
      </w:r>
    </w:p>
    <w:p w14:paraId="0343E6E0"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System Integration</w:t>
      </w:r>
      <w:r w:rsidRPr="00E41D94">
        <w:rPr>
          <w:rFonts w:ascii="Times New Roman" w:hAnsi="Times New Roman" w:cs="Times New Roman"/>
          <w:sz w:val="18"/>
          <w:szCs w:val="18"/>
        </w:rPr>
        <w:t>: Expanding analysis to include the complete thermal management system—</w:t>
      </w:r>
      <w:proofErr w:type="spellStart"/>
      <w:r w:rsidRPr="00E41D94">
        <w:rPr>
          <w:rFonts w:ascii="Times New Roman" w:hAnsi="Times New Roman" w:cs="Times New Roman"/>
          <w:sz w:val="18"/>
          <w:szCs w:val="18"/>
        </w:rPr>
        <w:t>GaN</w:t>
      </w:r>
      <w:proofErr w:type="spellEnd"/>
      <w:r w:rsidRPr="00E41D94">
        <w:rPr>
          <w:rFonts w:ascii="Times New Roman" w:hAnsi="Times New Roman" w:cs="Times New Roman"/>
          <w:sz w:val="18"/>
          <w:szCs w:val="18"/>
        </w:rPr>
        <w:t xml:space="preserve"> modules, cold plates, water circuit, refrigerant loop, and ambient heat rejection. The component-level optimization presented here is just the first step toward system-level optimization.</w:t>
      </w:r>
    </w:p>
    <w:p w14:paraId="5EFCBF71"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b/>
          <w:bCs/>
          <w:sz w:val="18"/>
          <w:szCs w:val="18"/>
        </w:rPr>
        <w:t>Directed Energy Applications</w:t>
      </w:r>
      <w:r w:rsidRPr="00E41D94">
        <w:rPr>
          <w:rFonts w:ascii="Times New Roman" w:hAnsi="Times New Roman" w:cs="Times New Roman"/>
          <w:sz w:val="18"/>
          <w:szCs w:val="18"/>
        </w:rPr>
        <w:t>: Extending this thermal management approach to emerging high-power microwave and laser weapon systems where thermal loads exceed even AESA radars.</w:t>
      </w:r>
    </w:p>
    <w:p w14:paraId="3B06DE6D" w14:textId="118FDB82" w:rsidR="00CF289A" w:rsidRPr="00CF289A"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This work positions Kipco to deliver environmentally-compliant thermal solutions for next-generation defense electronics operating under extreme conditions. As radar power levels continue increasing and environmental regulations tighten, advanced thermal management becomes a critical enabling technology for military superiority.</w:t>
      </w:r>
    </w:p>
    <w:p w14:paraId="0DFA9DD1" w14:textId="3332B2EC" w:rsidR="00E41D94" w:rsidRPr="00E41D94" w:rsidRDefault="00E41D94" w:rsidP="00E41D94">
      <w:pPr>
        <w:jc w:val="both"/>
        <w:rPr>
          <w:rFonts w:ascii="Times New Roman" w:hAnsi="Times New Roman" w:cs="Times New Roman"/>
          <w:b/>
          <w:bCs/>
          <w:sz w:val="18"/>
          <w:szCs w:val="18"/>
        </w:rPr>
      </w:pPr>
      <w:r w:rsidRPr="00E41D94">
        <w:rPr>
          <w:rFonts w:ascii="Times New Roman" w:hAnsi="Times New Roman" w:cs="Times New Roman"/>
          <w:b/>
          <w:bCs/>
          <w:sz w:val="18"/>
          <w:szCs w:val="18"/>
        </w:rPr>
        <w:t>References</w:t>
      </w:r>
    </w:p>
    <w:p w14:paraId="6285087B"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Chen, Y., &amp; Wang, X. (2023). Numerical optimization of microchannel heat exchanger geometry for R1234yf automotive applications. </w:t>
      </w:r>
      <w:r w:rsidRPr="00E41D94">
        <w:rPr>
          <w:rFonts w:ascii="Times New Roman" w:hAnsi="Times New Roman" w:cs="Times New Roman"/>
          <w:i/>
          <w:iCs/>
          <w:sz w:val="18"/>
          <w:szCs w:val="18"/>
        </w:rPr>
        <w:t>International Journal of Heat and Mass Transfer</w:t>
      </w:r>
      <w:r w:rsidRPr="00E41D94">
        <w:rPr>
          <w:rFonts w:ascii="Times New Roman" w:hAnsi="Times New Roman" w:cs="Times New Roman"/>
          <w:sz w:val="18"/>
          <w:szCs w:val="18"/>
        </w:rPr>
        <w:t>, 215, 124487.</w:t>
      </w:r>
    </w:p>
    <w:p w14:paraId="24A3414F"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Kumar, A., Singh, R.K., &amp; Sharma, P. (2024). CFD analysis of R1234yf heat transfer in plate heat exchangers. </w:t>
      </w:r>
      <w:r w:rsidRPr="00E41D94">
        <w:rPr>
          <w:rFonts w:ascii="Times New Roman" w:hAnsi="Times New Roman" w:cs="Times New Roman"/>
          <w:i/>
          <w:iCs/>
          <w:sz w:val="18"/>
          <w:szCs w:val="18"/>
        </w:rPr>
        <w:t>International Journal of Refrigeration</w:t>
      </w:r>
      <w:r w:rsidRPr="00E41D94">
        <w:rPr>
          <w:rFonts w:ascii="Times New Roman" w:hAnsi="Times New Roman" w:cs="Times New Roman"/>
          <w:sz w:val="18"/>
          <w:szCs w:val="18"/>
        </w:rPr>
        <w:t>, 158, 45-58.</w:t>
      </w:r>
    </w:p>
    <w:p w14:paraId="260D3962"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Martinez, J.A., &amp; Garcia, R.F. (2023). Computational validation study of SOLIDWORKS Flow Simulation. </w:t>
      </w:r>
      <w:r w:rsidRPr="00E41D94">
        <w:rPr>
          <w:rFonts w:ascii="Times New Roman" w:hAnsi="Times New Roman" w:cs="Times New Roman"/>
          <w:i/>
          <w:iCs/>
          <w:sz w:val="18"/>
          <w:szCs w:val="18"/>
        </w:rPr>
        <w:t>Journal of Heat Transfer</w:t>
      </w:r>
      <w:r w:rsidRPr="00E41D94">
        <w:rPr>
          <w:rFonts w:ascii="Times New Roman" w:hAnsi="Times New Roman" w:cs="Times New Roman"/>
          <w:sz w:val="18"/>
          <w:szCs w:val="18"/>
        </w:rPr>
        <w:t>, 145(8), 081802.</w:t>
      </w:r>
    </w:p>
    <w:p w14:paraId="645F3B97"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Shah, R.K., &amp; Sekulić, D.P. (2023). </w:t>
      </w:r>
      <w:r w:rsidRPr="00E41D94">
        <w:rPr>
          <w:rFonts w:ascii="Times New Roman" w:hAnsi="Times New Roman" w:cs="Times New Roman"/>
          <w:i/>
          <w:iCs/>
          <w:sz w:val="18"/>
          <w:szCs w:val="18"/>
        </w:rPr>
        <w:t>Fundamentals of Heat Exchanger Design</w:t>
      </w:r>
      <w:r w:rsidRPr="00E41D94">
        <w:rPr>
          <w:rFonts w:ascii="Times New Roman" w:hAnsi="Times New Roman" w:cs="Times New Roman"/>
          <w:sz w:val="18"/>
          <w:szCs w:val="18"/>
        </w:rPr>
        <w:t>. John Wiley &amp; Sons.</w:t>
      </w:r>
    </w:p>
    <w:p w14:paraId="347E0BA3"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Wang, L., &amp; Liu, J. (2024). Investigation of water-side fouling effects in refrigerant condensers. </w:t>
      </w:r>
      <w:r w:rsidRPr="00E41D94">
        <w:rPr>
          <w:rFonts w:ascii="Times New Roman" w:hAnsi="Times New Roman" w:cs="Times New Roman"/>
          <w:i/>
          <w:iCs/>
          <w:sz w:val="18"/>
          <w:szCs w:val="18"/>
        </w:rPr>
        <w:t>International Journal of Heat and Mass Transfer</w:t>
      </w:r>
      <w:r w:rsidRPr="00E41D94">
        <w:rPr>
          <w:rFonts w:ascii="Times New Roman" w:hAnsi="Times New Roman" w:cs="Times New Roman"/>
          <w:sz w:val="18"/>
          <w:szCs w:val="18"/>
        </w:rPr>
        <w:t>, 219, 124832.</w:t>
      </w:r>
    </w:p>
    <w:p w14:paraId="629148C0" w14:textId="77777777" w:rsidR="00E41D94" w:rsidRPr="00E41D94" w:rsidRDefault="00E41D94" w:rsidP="00E41D94">
      <w:pPr>
        <w:jc w:val="both"/>
        <w:rPr>
          <w:rFonts w:ascii="Times New Roman" w:hAnsi="Times New Roman" w:cs="Times New Roman"/>
          <w:sz w:val="18"/>
          <w:szCs w:val="18"/>
        </w:rPr>
      </w:pPr>
      <w:r w:rsidRPr="00E41D94">
        <w:rPr>
          <w:rFonts w:ascii="Times New Roman" w:hAnsi="Times New Roman" w:cs="Times New Roman"/>
          <w:sz w:val="18"/>
          <w:szCs w:val="18"/>
        </w:rPr>
        <w:t xml:space="preserve">Zhang, Q., Chen, L., &amp; Wu, Y. (2024). Experimental study of coupled heat transfer in R1234yf condensers. </w:t>
      </w:r>
      <w:r w:rsidRPr="00E41D94">
        <w:rPr>
          <w:rFonts w:ascii="Times New Roman" w:hAnsi="Times New Roman" w:cs="Times New Roman"/>
          <w:i/>
          <w:iCs/>
          <w:sz w:val="18"/>
          <w:szCs w:val="18"/>
        </w:rPr>
        <w:t>Energy</w:t>
      </w:r>
      <w:r w:rsidRPr="00E41D94">
        <w:rPr>
          <w:rFonts w:ascii="Times New Roman" w:hAnsi="Times New Roman" w:cs="Times New Roman"/>
          <w:sz w:val="18"/>
          <w:szCs w:val="18"/>
        </w:rPr>
        <w:t>, 285, 129456.</w:t>
      </w:r>
    </w:p>
    <w:p w14:paraId="78D0EE86" w14:textId="77777777" w:rsidR="00441D35" w:rsidRPr="00E41D94" w:rsidRDefault="00441D35" w:rsidP="00E41D94">
      <w:pPr>
        <w:jc w:val="both"/>
        <w:rPr>
          <w:rFonts w:ascii="Times New Roman" w:hAnsi="Times New Roman" w:cs="Times New Roman"/>
          <w:sz w:val="18"/>
          <w:szCs w:val="18"/>
        </w:rPr>
      </w:pPr>
    </w:p>
    <w:sectPr w:rsidR="00441D35" w:rsidRPr="00E41D94" w:rsidSect="00E41D94">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1605B5"/>
    <w:multiLevelType w:val="multilevel"/>
    <w:tmpl w:val="63B0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09655A"/>
    <w:multiLevelType w:val="multilevel"/>
    <w:tmpl w:val="04D24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0D6A8C"/>
    <w:multiLevelType w:val="multilevel"/>
    <w:tmpl w:val="AF805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C0B78A1"/>
    <w:multiLevelType w:val="multilevel"/>
    <w:tmpl w:val="28D84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B33B9B"/>
    <w:multiLevelType w:val="multilevel"/>
    <w:tmpl w:val="F33AA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D12472"/>
    <w:multiLevelType w:val="multilevel"/>
    <w:tmpl w:val="CFF21B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C695851"/>
    <w:multiLevelType w:val="multilevel"/>
    <w:tmpl w:val="D7C8B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5837A47"/>
    <w:multiLevelType w:val="multilevel"/>
    <w:tmpl w:val="6F36D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739264D"/>
    <w:multiLevelType w:val="multilevel"/>
    <w:tmpl w:val="44165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47190391">
    <w:abstractNumId w:val="8"/>
  </w:num>
  <w:num w:numId="2" w16cid:durableId="1306933194">
    <w:abstractNumId w:val="2"/>
  </w:num>
  <w:num w:numId="3" w16cid:durableId="958295694">
    <w:abstractNumId w:val="0"/>
  </w:num>
  <w:num w:numId="4" w16cid:durableId="2125034336">
    <w:abstractNumId w:val="3"/>
  </w:num>
  <w:num w:numId="5" w16cid:durableId="1229194007">
    <w:abstractNumId w:val="6"/>
  </w:num>
  <w:num w:numId="6" w16cid:durableId="1283995131">
    <w:abstractNumId w:val="4"/>
  </w:num>
  <w:num w:numId="7" w16cid:durableId="423918922">
    <w:abstractNumId w:val="1"/>
  </w:num>
  <w:num w:numId="8" w16cid:durableId="38406186">
    <w:abstractNumId w:val="5"/>
  </w:num>
  <w:num w:numId="9" w16cid:durableId="19754823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D94"/>
    <w:rsid w:val="0020443B"/>
    <w:rsid w:val="003C7F85"/>
    <w:rsid w:val="00441D35"/>
    <w:rsid w:val="008B1291"/>
    <w:rsid w:val="00911FB5"/>
    <w:rsid w:val="0098469E"/>
    <w:rsid w:val="00AB18DA"/>
    <w:rsid w:val="00CF289A"/>
    <w:rsid w:val="00E41D94"/>
  </w:rsids>
  <m:mathPr>
    <m:mathFont m:val="Cambria Math"/>
    <m:brkBin m:val="before"/>
    <m:brkBinSub m:val="--"/>
    <m:smallFrac m:val="0"/>
    <m:dispDef/>
    <m:lMargin m:val="0"/>
    <m:rMargin m:val="0"/>
    <m:defJc m:val="centerGroup"/>
    <m:wrapIndent m:val="1440"/>
    <m:intLim m:val="subSup"/>
    <m:naryLim m:val="undOvr"/>
  </m:mathPr>
  <w:themeFontLang w:val="en-IN"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391958"/>
  <w15:chartTrackingRefBased/>
  <w15:docId w15:val="{86D8C263-E078-47E7-AE0D-40C27ED01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IN"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41D9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E41D9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41D9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41D9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41D9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41D9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41D9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41D9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41D9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1D9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41D9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41D9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41D9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41D9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41D9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41D9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41D9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41D94"/>
    <w:rPr>
      <w:rFonts w:eastAsiaTheme="majorEastAsia" w:cstheme="majorBidi"/>
      <w:color w:val="272727" w:themeColor="text1" w:themeTint="D8"/>
    </w:rPr>
  </w:style>
  <w:style w:type="paragraph" w:styleId="Title">
    <w:name w:val="Title"/>
    <w:basedOn w:val="Normal"/>
    <w:next w:val="Normal"/>
    <w:link w:val="TitleChar"/>
    <w:uiPriority w:val="10"/>
    <w:qFormat/>
    <w:rsid w:val="00E41D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41D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41D9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41D9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41D94"/>
    <w:pPr>
      <w:spacing w:before="160"/>
      <w:jc w:val="center"/>
    </w:pPr>
    <w:rPr>
      <w:i/>
      <w:iCs/>
      <w:color w:val="404040" w:themeColor="text1" w:themeTint="BF"/>
    </w:rPr>
  </w:style>
  <w:style w:type="character" w:customStyle="1" w:styleId="QuoteChar">
    <w:name w:val="Quote Char"/>
    <w:basedOn w:val="DefaultParagraphFont"/>
    <w:link w:val="Quote"/>
    <w:uiPriority w:val="29"/>
    <w:rsid w:val="00E41D94"/>
    <w:rPr>
      <w:i/>
      <w:iCs/>
      <w:color w:val="404040" w:themeColor="text1" w:themeTint="BF"/>
    </w:rPr>
  </w:style>
  <w:style w:type="paragraph" w:styleId="ListParagraph">
    <w:name w:val="List Paragraph"/>
    <w:basedOn w:val="Normal"/>
    <w:uiPriority w:val="34"/>
    <w:qFormat/>
    <w:rsid w:val="00E41D94"/>
    <w:pPr>
      <w:ind w:left="720"/>
      <w:contextualSpacing/>
    </w:pPr>
  </w:style>
  <w:style w:type="character" w:styleId="IntenseEmphasis">
    <w:name w:val="Intense Emphasis"/>
    <w:basedOn w:val="DefaultParagraphFont"/>
    <w:uiPriority w:val="21"/>
    <w:qFormat/>
    <w:rsid w:val="00E41D94"/>
    <w:rPr>
      <w:i/>
      <w:iCs/>
      <w:color w:val="2F5496" w:themeColor="accent1" w:themeShade="BF"/>
    </w:rPr>
  </w:style>
  <w:style w:type="paragraph" w:styleId="IntenseQuote">
    <w:name w:val="Intense Quote"/>
    <w:basedOn w:val="Normal"/>
    <w:next w:val="Normal"/>
    <w:link w:val="IntenseQuoteChar"/>
    <w:uiPriority w:val="30"/>
    <w:qFormat/>
    <w:rsid w:val="00E41D9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41D94"/>
    <w:rPr>
      <w:i/>
      <w:iCs/>
      <w:color w:val="2F5496" w:themeColor="accent1" w:themeShade="BF"/>
    </w:rPr>
  </w:style>
  <w:style w:type="character" w:styleId="IntenseReference">
    <w:name w:val="Intense Reference"/>
    <w:basedOn w:val="DefaultParagraphFont"/>
    <w:uiPriority w:val="32"/>
    <w:qFormat/>
    <w:rsid w:val="00E41D9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5</Pages>
  <Words>2790</Words>
  <Characters>15904</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2026-01-16T05:43:00Z</dcterms:created>
  <dcterms:modified xsi:type="dcterms:W3CDTF">2026-01-16T06:18:00Z</dcterms:modified>
</cp:coreProperties>
</file>